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01FFE0">
      <w:pPr>
        <w:pStyle w:val="2"/>
        <w:keepNext w:val="0"/>
        <w:keepLines w:val="0"/>
        <w:pageBreakBefore w:val="0"/>
        <w:widowControl/>
        <w:kinsoku/>
        <w:wordWrap/>
        <w:overflowPunct/>
        <w:topLinePunct w:val="0"/>
        <w:autoSpaceDE/>
        <w:autoSpaceDN/>
        <w:bidi w:val="0"/>
        <w:adjustRightInd/>
        <w:snapToGrid/>
        <w:spacing w:line="700" w:lineRule="exact"/>
        <w:ind w:firstLine="420"/>
        <w:jc w:val="center"/>
        <w:textAlignment w:val="auto"/>
        <w:rPr>
          <w:rFonts w:hint="eastAsia" w:ascii="方正小标宋简体" w:hAnsi="方正小标宋简体" w:eastAsia="方正小标宋简体" w:cs="方正小标宋简体"/>
          <w:color w:val="auto"/>
          <w:sz w:val="44"/>
          <w:szCs w:val="44"/>
          <w:highlight w:val="none"/>
          <w:lang w:val="en-US" w:eastAsia="zh-CN"/>
        </w:rPr>
      </w:pPr>
      <w:bookmarkStart w:id="0" w:name="_GoBack"/>
      <w:bookmarkEnd w:id="0"/>
      <w:r>
        <w:rPr>
          <w:rFonts w:hint="eastAsia" w:ascii="方正小标宋简体" w:hAnsi="方正小标宋简体" w:eastAsia="方正小标宋简体" w:cs="方正小标宋简体"/>
          <w:color w:val="auto"/>
          <w:sz w:val="44"/>
          <w:szCs w:val="44"/>
          <w:highlight w:val="none"/>
          <w:u w:val="single"/>
          <w:lang w:val="en-US" w:eastAsia="zh-CN"/>
        </w:rPr>
        <w:t>丛林穿越</w:t>
      </w:r>
      <w:r>
        <w:rPr>
          <w:rFonts w:hint="eastAsia" w:ascii="方正小标宋简体" w:hAnsi="方正小标宋简体" w:eastAsia="方正小标宋简体" w:cs="方正小标宋简体"/>
          <w:color w:val="auto"/>
          <w:sz w:val="44"/>
          <w:szCs w:val="44"/>
          <w:highlight w:val="none"/>
          <w:lang w:val="en-US" w:eastAsia="zh-CN"/>
        </w:rPr>
        <w:t>项目招商评分表</w:t>
      </w:r>
    </w:p>
    <w:p w14:paraId="0A05B36B">
      <w:pPr>
        <w:pStyle w:val="2"/>
        <w:keepNext w:val="0"/>
        <w:keepLines w:val="0"/>
        <w:pageBreakBefore w:val="0"/>
        <w:widowControl/>
        <w:kinsoku/>
        <w:wordWrap/>
        <w:overflowPunct/>
        <w:topLinePunct w:val="0"/>
        <w:autoSpaceDE/>
        <w:autoSpaceDN/>
        <w:bidi w:val="0"/>
        <w:adjustRightInd/>
        <w:snapToGrid/>
        <w:spacing w:line="700" w:lineRule="exact"/>
        <w:ind w:firstLine="420"/>
        <w:jc w:val="left"/>
        <w:textAlignment w:val="auto"/>
        <w:rPr>
          <w:rFonts w:hint="default" w:ascii="国标仿宋-GB/T 2312" w:hAnsi="国标仿宋-GB/T 2312" w:eastAsia="国标仿宋-GB/T 2312" w:cs="国标仿宋-GB/T 2312"/>
          <w:color w:val="auto"/>
          <w:sz w:val="32"/>
          <w:szCs w:val="32"/>
          <w:highlight w:val="none"/>
          <w:u w:val="single"/>
          <w:lang w:val="en-US" w:eastAsia="zh-CN"/>
        </w:rPr>
      </w:pPr>
      <w:r>
        <w:rPr>
          <w:rFonts w:hint="eastAsia" w:ascii="国标仿宋-GB/T 2312" w:hAnsi="国标仿宋-GB/T 2312" w:eastAsia="国标仿宋-GB/T 2312" w:cs="国标仿宋-GB/T 2312"/>
          <w:color w:val="auto"/>
          <w:sz w:val="32"/>
          <w:szCs w:val="32"/>
          <w:highlight w:val="none"/>
          <w:lang w:val="zh-CN" w:eastAsia="zh-CN"/>
        </w:rPr>
        <w:t>参与单位名称：</w:t>
      </w:r>
      <w:r>
        <w:rPr>
          <w:rFonts w:hint="eastAsia" w:ascii="国标仿宋-GB/T 2312" w:hAnsi="国标仿宋-GB/T 2312" w:eastAsia="国标仿宋-GB/T 2312" w:cs="国标仿宋-GB/T 2312"/>
          <w:color w:val="auto"/>
          <w:sz w:val="32"/>
          <w:szCs w:val="32"/>
          <w:highlight w:val="none"/>
          <w:u w:val="single"/>
          <w:lang w:val="en-US" w:eastAsia="zh-CN"/>
        </w:rPr>
        <w:t xml:space="preserve">                 </w:t>
      </w:r>
    </w:p>
    <w:tbl>
      <w:tblPr>
        <w:tblStyle w:val="3"/>
        <w:tblpPr w:leftFromText="180" w:rightFromText="180" w:vertAnchor="text" w:horzAnchor="page" w:tblpX="1611" w:tblpY="992"/>
        <w:tblOverlap w:val="never"/>
        <w:tblW w:w="14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48"/>
        <w:gridCol w:w="2438"/>
        <w:gridCol w:w="8323"/>
        <w:gridCol w:w="1801"/>
      </w:tblGrid>
      <w:tr w14:paraId="692D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894" w:type="dxa"/>
            <w:gridSpan w:val="2"/>
            <w:noWrap w:val="0"/>
            <w:vAlign w:val="center"/>
          </w:tcPr>
          <w:p w14:paraId="748AF17F">
            <w:pPr>
              <w:jc w:val="center"/>
              <w:rPr>
                <w:rFonts w:hint="eastAsia" w:ascii="宋体" w:hAnsi="宋体" w:cs="宋体"/>
                <w:szCs w:val="21"/>
              </w:rPr>
            </w:pPr>
            <w:r>
              <w:rPr>
                <w:rFonts w:hint="eastAsia" w:ascii="宋体" w:hAnsi="宋体" w:cs="宋体"/>
                <w:szCs w:val="21"/>
              </w:rPr>
              <w:t>条款号</w:t>
            </w:r>
          </w:p>
        </w:tc>
        <w:tc>
          <w:tcPr>
            <w:tcW w:w="2438" w:type="dxa"/>
            <w:noWrap w:val="0"/>
            <w:vAlign w:val="center"/>
          </w:tcPr>
          <w:p w14:paraId="0DC9B0E6">
            <w:pPr>
              <w:jc w:val="center"/>
              <w:rPr>
                <w:rFonts w:hint="eastAsia" w:ascii="宋体" w:hAnsi="宋体" w:cs="宋体"/>
                <w:szCs w:val="21"/>
              </w:rPr>
            </w:pPr>
            <w:r>
              <w:rPr>
                <w:rFonts w:hint="eastAsia" w:ascii="宋体" w:hAnsi="宋体" w:cs="宋体"/>
                <w:szCs w:val="21"/>
              </w:rPr>
              <w:t>条款内容</w:t>
            </w:r>
          </w:p>
        </w:tc>
        <w:tc>
          <w:tcPr>
            <w:tcW w:w="8323" w:type="dxa"/>
            <w:noWrap w:val="0"/>
            <w:vAlign w:val="center"/>
          </w:tcPr>
          <w:p w14:paraId="060F40AE">
            <w:pPr>
              <w:jc w:val="center"/>
              <w:rPr>
                <w:rFonts w:hint="eastAsia" w:ascii="宋体" w:hAnsi="宋体" w:cs="宋体"/>
                <w:szCs w:val="21"/>
              </w:rPr>
            </w:pPr>
            <w:r>
              <w:rPr>
                <w:rFonts w:hint="eastAsia" w:ascii="宋体" w:hAnsi="宋体" w:cs="宋体"/>
                <w:szCs w:val="21"/>
              </w:rPr>
              <w:t>编列内容</w:t>
            </w:r>
          </w:p>
        </w:tc>
        <w:tc>
          <w:tcPr>
            <w:tcW w:w="1801" w:type="dxa"/>
            <w:noWrap w:val="0"/>
            <w:vAlign w:val="center"/>
          </w:tcPr>
          <w:p w14:paraId="3549170F">
            <w:pPr>
              <w:jc w:val="center"/>
              <w:rPr>
                <w:rFonts w:hint="eastAsia" w:ascii="宋体" w:hAnsi="宋体" w:eastAsia="宋体" w:cs="宋体"/>
                <w:szCs w:val="21"/>
                <w:lang w:eastAsia="zh-CN"/>
              </w:rPr>
            </w:pPr>
            <w:r>
              <w:rPr>
                <w:rFonts w:hint="eastAsia" w:ascii="宋体" w:hAnsi="宋体" w:cs="宋体"/>
                <w:szCs w:val="21"/>
                <w:lang w:eastAsia="zh-CN"/>
              </w:rPr>
              <w:t>得分</w:t>
            </w:r>
          </w:p>
        </w:tc>
      </w:tr>
      <w:tr w14:paraId="7BA03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94" w:type="dxa"/>
            <w:gridSpan w:val="2"/>
            <w:noWrap w:val="0"/>
            <w:vAlign w:val="center"/>
          </w:tcPr>
          <w:p w14:paraId="018D03E7">
            <w:pPr>
              <w:jc w:val="center"/>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.2.1</w:t>
            </w:r>
          </w:p>
        </w:tc>
        <w:tc>
          <w:tcPr>
            <w:tcW w:w="2438" w:type="dxa"/>
            <w:noWrap w:val="0"/>
            <w:vAlign w:val="center"/>
          </w:tcPr>
          <w:p w14:paraId="6B4D3DBC">
            <w:pPr>
              <w:rPr>
                <w:rFonts w:hint="eastAsia" w:ascii="宋体" w:hAnsi="宋体" w:cs="宋体"/>
                <w:szCs w:val="21"/>
              </w:rPr>
            </w:pPr>
            <w:r>
              <w:rPr>
                <w:rFonts w:hint="eastAsia" w:ascii="宋体" w:hAnsi="宋体" w:cs="宋体"/>
                <w:szCs w:val="21"/>
              </w:rPr>
              <w:t>分值构成</w:t>
            </w:r>
          </w:p>
          <w:p w14:paraId="79A77C0F">
            <w:pPr>
              <w:rPr>
                <w:rFonts w:hint="eastAsia" w:ascii="宋体" w:hAnsi="宋体" w:cs="宋体"/>
                <w:szCs w:val="21"/>
              </w:rPr>
            </w:pPr>
            <w:r>
              <w:rPr>
                <w:rFonts w:hint="eastAsia" w:ascii="宋体" w:hAnsi="宋体" w:cs="宋体"/>
                <w:szCs w:val="21"/>
              </w:rPr>
              <w:t>（总分100分）</w:t>
            </w:r>
          </w:p>
        </w:tc>
        <w:tc>
          <w:tcPr>
            <w:tcW w:w="8323" w:type="dxa"/>
            <w:noWrap w:val="0"/>
            <w:vAlign w:val="center"/>
          </w:tcPr>
          <w:p w14:paraId="22E37375">
            <w:pPr>
              <w:rPr>
                <w:rFonts w:hint="eastAsia" w:ascii="宋体" w:hAnsi="宋体" w:cs="宋体"/>
                <w:szCs w:val="21"/>
                <w:highlight w:val="none"/>
              </w:rPr>
            </w:pPr>
            <w:r>
              <w:rPr>
                <w:rFonts w:hint="eastAsia" w:ascii="宋体" w:hAnsi="宋体" w:cs="宋体"/>
                <w:szCs w:val="21"/>
                <w:lang w:val="en-US" w:eastAsia="zh-CN"/>
              </w:rPr>
              <w:t>项目方案设计</w:t>
            </w: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u w:val="single"/>
              </w:rPr>
              <w:t>0</w:t>
            </w:r>
            <w:r>
              <w:rPr>
                <w:rFonts w:hint="eastAsia" w:ascii="宋体" w:hAnsi="宋体" w:cs="宋体"/>
                <w:szCs w:val="21"/>
                <w:highlight w:val="none"/>
              </w:rPr>
              <w:t>分</w:t>
            </w:r>
          </w:p>
          <w:p w14:paraId="6852C709">
            <w:pPr>
              <w:rPr>
                <w:rFonts w:hint="eastAsia" w:ascii="宋体" w:hAnsi="宋体" w:cs="宋体"/>
                <w:szCs w:val="21"/>
                <w:highlight w:val="none"/>
              </w:rPr>
            </w:pPr>
            <w:r>
              <w:rPr>
                <w:rFonts w:hint="eastAsia" w:ascii="宋体" w:hAnsi="宋体" w:cs="宋体"/>
                <w:szCs w:val="21"/>
                <w:highlight w:val="none"/>
                <w:lang w:eastAsia="zh-CN"/>
              </w:rPr>
              <w:t>分</w:t>
            </w:r>
            <w:r>
              <w:rPr>
                <w:rFonts w:hint="eastAsia" w:ascii="宋体" w:hAnsi="宋体" w:cs="宋体"/>
                <w:szCs w:val="21"/>
                <w:highlight w:val="none"/>
                <w:lang w:val="en-US" w:eastAsia="zh-CN"/>
              </w:rPr>
              <w:t xml:space="preserve"> </w:t>
            </w:r>
            <w:r>
              <w:rPr>
                <w:rFonts w:hint="eastAsia" w:ascii="宋体" w:hAnsi="宋体" w:cs="宋体"/>
                <w:szCs w:val="21"/>
                <w:highlight w:val="none"/>
                <w:lang w:eastAsia="zh-CN"/>
              </w:rPr>
              <w:t>成</w:t>
            </w:r>
            <w:r>
              <w:rPr>
                <w:rFonts w:hint="eastAsia" w:ascii="宋体" w:hAnsi="宋体" w:cs="宋体"/>
                <w:szCs w:val="21"/>
                <w:highlight w:val="none"/>
                <w:lang w:val="en-US" w:eastAsia="zh-CN"/>
              </w:rPr>
              <w:t xml:space="preserve">  </w:t>
            </w:r>
            <w:r>
              <w:rPr>
                <w:rFonts w:hint="eastAsia" w:ascii="宋体" w:hAnsi="宋体" w:cs="宋体"/>
                <w:szCs w:val="21"/>
                <w:highlight w:val="none"/>
                <w:lang w:eastAsia="zh-CN"/>
              </w:rPr>
              <w:t>比</w:t>
            </w:r>
            <w:r>
              <w:rPr>
                <w:rFonts w:hint="eastAsia" w:ascii="宋体" w:hAnsi="宋体" w:cs="宋体"/>
                <w:szCs w:val="21"/>
                <w:highlight w:val="none"/>
                <w:lang w:val="en-US" w:eastAsia="zh-CN"/>
              </w:rPr>
              <w:t xml:space="preserve">  </w:t>
            </w:r>
            <w:r>
              <w:rPr>
                <w:rFonts w:hint="eastAsia" w:ascii="宋体" w:hAnsi="宋体" w:cs="宋体"/>
                <w:szCs w:val="21"/>
                <w:highlight w:val="none"/>
                <w:lang w:eastAsia="zh-CN"/>
              </w:rPr>
              <w:t>例</w:t>
            </w:r>
            <w:r>
              <w:rPr>
                <w:rFonts w:hint="eastAsia" w:ascii="宋体" w:hAnsi="宋体" w:cs="宋体"/>
                <w:szCs w:val="21"/>
                <w:highlight w:val="none"/>
              </w:rPr>
              <w:t>：</w:t>
            </w:r>
            <w:r>
              <w:rPr>
                <w:rFonts w:hint="eastAsia" w:ascii="宋体" w:hAnsi="宋体" w:cs="宋体"/>
                <w:szCs w:val="21"/>
                <w:highlight w:val="none"/>
                <w:lang w:val="en-US" w:eastAsia="zh-CN"/>
              </w:rPr>
              <w:t>35</w:t>
            </w:r>
            <w:r>
              <w:rPr>
                <w:rFonts w:hint="eastAsia" w:ascii="宋体" w:hAnsi="宋体" w:cs="宋体"/>
                <w:szCs w:val="21"/>
                <w:highlight w:val="none"/>
              </w:rPr>
              <w:t>分</w:t>
            </w:r>
          </w:p>
          <w:p w14:paraId="027AFFCF">
            <w:pPr>
              <w:rPr>
                <w:rFonts w:hint="eastAsia" w:ascii="宋体" w:hAnsi="宋体" w:cs="宋体"/>
                <w:szCs w:val="21"/>
              </w:rPr>
            </w:pPr>
            <w:r>
              <w:rPr>
                <w:rFonts w:hint="eastAsia" w:ascii="宋体" w:hAnsi="宋体" w:cs="宋体"/>
                <w:szCs w:val="21"/>
                <w:highlight w:val="none"/>
              </w:rPr>
              <w:t>其他评分因素：</w:t>
            </w:r>
            <w:r>
              <w:rPr>
                <w:rFonts w:hint="eastAsia" w:ascii="宋体" w:hAnsi="宋体" w:cs="宋体"/>
                <w:szCs w:val="21"/>
                <w:highlight w:val="none"/>
                <w:u w:val="single"/>
                <w:lang w:val="en-US" w:eastAsia="zh-CN"/>
              </w:rPr>
              <w:t>25</w:t>
            </w:r>
            <w:r>
              <w:rPr>
                <w:rFonts w:hint="eastAsia" w:ascii="宋体" w:hAnsi="宋体" w:cs="宋体"/>
                <w:szCs w:val="21"/>
                <w:highlight w:val="none"/>
              </w:rPr>
              <w:t>分</w:t>
            </w:r>
          </w:p>
        </w:tc>
        <w:tc>
          <w:tcPr>
            <w:tcW w:w="1801" w:type="dxa"/>
            <w:noWrap w:val="0"/>
            <w:vAlign w:val="center"/>
          </w:tcPr>
          <w:p w14:paraId="12F4D8A3">
            <w:pPr>
              <w:rPr>
                <w:rFonts w:hint="eastAsia" w:ascii="宋体" w:hAnsi="宋体" w:cs="宋体"/>
                <w:szCs w:val="21"/>
                <w:highlight w:val="none"/>
              </w:rPr>
            </w:pPr>
          </w:p>
        </w:tc>
      </w:tr>
      <w:tr w14:paraId="7DC6F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894" w:type="dxa"/>
            <w:gridSpan w:val="2"/>
            <w:noWrap w:val="0"/>
            <w:vAlign w:val="center"/>
          </w:tcPr>
          <w:p w14:paraId="0F00E7E8">
            <w:pPr>
              <w:jc w:val="center"/>
              <w:rPr>
                <w:rFonts w:hint="eastAsia" w:ascii="宋体" w:hAnsi="宋体" w:cs="宋体"/>
                <w:szCs w:val="21"/>
              </w:rPr>
            </w:pPr>
            <w:r>
              <w:rPr>
                <w:rFonts w:hint="eastAsia" w:ascii="宋体" w:hAnsi="宋体" w:cs="宋体"/>
                <w:szCs w:val="21"/>
              </w:rPr>
              <w:t>条款号</w:t>
            </w:r>
          </w:p>
        </w:tc>
        <w:tc>
          <w:tcPr>
            <w:tcW w:w="2438" w:type="dxa"/>
            <w:noWrap w:val="0"/>
            <w:vAlign w:val="center"/>
          </w:tcPr>
          <w:p w14:paraId="0C3CB1F8">
            <w:pPr>
              <w:jc w:val="center"/>
              <w:rPr>
                <w:rFonts w:hint="eastAsia" w:ascii="宋体" w:hAnsi="宋体" w:cs="宋体"/>
                <w:szCs w:val="21"/>
              </w:rPr>
            </w:pPr>
            <w:r>
              <w:rPr>
                <w:rFonts w:hint="eastAsia" w:ascii="宋体" w:hAnsi="宋体" w:cs="宋体"/>
                <w:szCs w:val="21"/>
              </w:rPr>
              <w:t>评分因素</w:t>
            </w:r>
          </w:p>
        </w:tc>
        <w:tc>
          <w:tcPr>
            <w:tcW w:w="8323" w:type="dxa"/>
            <w:noWrap w:val="0"/>
            <w:vAlign w:val="center"/>
          </w:tcPr>
          <w:p w14:paraId="13E501FE">
            <w:pPr>
              <w:jc w:val="center"/>
              <w:rPr>
                <w:rFonts w:hint="eastAsia" w:ascii="宋体" w:hAnsi="宋体" w:cs="宋体"/>
                <w:szCs w:val="21"/>
              </w:rPr>
            </w:pPr>
            <w:r>
              <w:rPr>
                <w:rFonts w:hint="eastAsia" w:ascii="宋体" w:hAnsi="宋体" w:cs="宋体"/>
                <w:szCs w:val="21"/>
                <w:lang w:eastAsia="zh-CN"/>
              </w:rPr>
              <w:t>评审</w:t>
            </w:r>
            <w:r>
              <w:rPr>
                <w:rFonts w:hint="eastAsia" w:ascii="宋体" w:hAnsi="宋体" w:cs="宋体"/>
                <w:szCs w:val="21"/>
              </w:rPr>
              <w:t>标准</w:t>
            </w:r>
          </w:p>
        </w:tc>
        <w:tc>
          <w:tcPr>
            <w:tcW w:w="1801" w:type="dxa"/>
            <w:noWrap w:val="0"/>
            <w:vAlign w:val="center"/>
          </w:tcPr>
          <w:p w14:paraId="0952F3FF">
            <w:pPr>
              <w:jc w:val="center"/>
              <w:rPr>
                <w:rFonts w:hint="eastAsia" w:ascii="宋体" w:hAnsi="宋体" w:cs="宋体"/>
                <w:szCs w:val="21"/>
                <w:lang w:eastAsia="zh-CN"/>
              </w:rPr>
            </w:pPr>
          </w:p>
        </w:tc>
      </w:tr>
      <w:tr w14:paraId="3396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46" w:type="dxa"/>
            <w:vMerge w:val="restart"/>
            <w:noWrap w:val="0"/>
            <w:vAlign w:val="center"/>
          </w:tcPr>
          <w:p w14:paraId="139503F7">
            <w:pPr>
              <w:jc w:val="center"/>
              <w:rPr>
                <w:rFonts w:hint="eastAsia" w:ascii="宋体" w:hAnsi="宋体" w:eastAsia="宋体" w:cs="宋体"/>
                <w:szCs w:val="21"/>
                <w:lang w:val="en-US" w:eastAsia="zh-CN"/>
              </w:rPr>
            </w:pPr>
            <w:r>
              <w:rPr>
                <w:rFonts w:hint="eastAsia" w:ascii="宋体" w:hAnsi="宋体" w:cs="宋体"/>
                <w:szCs w:val="21"/>
                <w:lang w:val="en-US" w:eastAsia="zh-CN"/>
              </w:rPr>
              <w:t>1</w:t>
            </w:r>
            <w:r>
              <w:rPr>
                <w:rFonts w:hint="eastAsia" w:ascii="宋体" w:hAnsi="宋体" w:cs="宋体"/>
                <w:szCs w:val="21"/>
              </w:rPr>
              <w:t>.2.</w:t>
            </w:r>
            <w:r>
              <w:rPr>
                <w:rFonts w:hint="eastAsia" w:ascii="宋体" w:hAnsi="宋体" w:cs="宋体"/>
                <w:szCs w:val="21"/>
                <w:lang w:val="en-US" w:eastAsia="zh-CN"/>
              </w:rPr>
              <w:t>3</w:t>
            </w:r>
          </w:p>
          <w:p w14:paraId="03D829C2">
            <w:pPr>
              <w:jc w:val="center"/>
              <w:rPr>
                <w:rFonts w:hint="eastAsia" w:ascii="宋体" w:hAnsi="宋体" w:cs="宋体"/>
                <w:szCs w:val="21"/>
              </w:rPr>
            </w:pPr>
            <w:r>
              <w:rPr>
                <w:rFonts w:hint="eastAsia" w:ascii="宋体" w:hAnsi="宋体" w:cs="宋体"/>
                <w:szCs w:val="21"/>
              </w:rPr>
              <w:t>(1)</w:t>
            </w:r>
          </w:p>
        </w:tc>
        <w:tc>
          <w:tcPr>
            <w:tcW w:w="1148" w:type="dxa"/>
            <w:vMerge w:val="restart"/>
            <w:noWrap w:val="0"/>
            <w:vAlign w:val="center"/>
          </w:tcPr>
          <w:p w14:paraId="60E130B5">
            <w:pPr>
              <w:jc w:val="center"/>
              <w:rPr>
                <w:rFonts w:hint="eastAsia" w:ascii="宋体" w:hAnsi="宋体" w:cs="宋体"/>
                <w:szCs w:val="21"/>
              </w:rPr>
            </w:pPr>
            <w:r>
              <w:rPr>
                <w:rFonts w:hint="eastAsia" w:ascii="宋体" w:hAnsi="宋体" w:cs="宋体"/>
                <w:szCs w:val="21"/>
                <w:lang w:val="en-US" w:eastAsia="zh-CN"/>
              </w:rPr>
              <w:t>项目方案设计</w:t>
            </w:r>
            <w:r>
              <w:rPr>
                <w:rFonts w:hint="eastAsia" w:ascii="宋体" w:hAnsi="宋体" w:cs="宋体"/>
                <w:szCs w:val="21"/>
              </w:rPr>
              <w:t>评分</w:t>
            </w:r>
          </w:p>
          <w:p w14:paraId="6A2E9880">
            <w:pPr>
              <w:jc w:val="center"/>
              <w:rPr>
                <w:rFonts w:hint="eastAsia" w:ascii="宋体" w:hAnsi="宋体" w:cs="宋体"/>
                <w:szCs w:val="21"/>
              </w:rPr>
            </w:pPr>
            <w:r>
              <w:rPr>
                <w:rFonts w:hint="eastAsia" w:ascii="宋体" w:hAnsi="宋体" w:cs="宋体"/>
                <w:szCs w:val="21"/>
              </w:rPr>
              <w:t>标准</w:t>
            </w:r>
          </w:p>
          <w:p w14:paraId="28224531">
            <w:pPr>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40</w:t>
            </w:r>
            <w:r>
              <w:rPr>
                <w:rFonts w:hint="eastAsia" w:ascii="宋体" w:hAnsi="宋体" w:cs="宋体"/>
                <w:szCs w:val="21"/>
              </w:rPr>
              <w:t>分）</w:t>
            </w:r>
          </w:p>
        </w:tc>
        <w:tc>
          <w:tcPr>
            <w:tcW w:w="2438" w:type="dxa"/>
            <w:noWrap w:val="0"/>
            <w:vAlign w:val="center"/>
          </w:tcPr>
          <w:p w14:paraId="1612AC0A">
            <w:pPr>
              <w:jc w:val="left"/>
              <w:rPr>
                <w:rFonts w:hint="eastAsia" w:ascii="宋体" w:hAnsi="宋体" w:cs="宋体"/>
                <w:szCs w:val="21"/>
              </w:rPr>
            </w:pPr>
            <w:r>
              <w:rPr>
                <w:rFonts w:hint="eastAsia" w:ascii="宋体" w:hAnsi="宋体" w:cs="宋体"/>
                <w:szCs w:val="21"/>
              </w:rPr>
              <w:t>内容完整性和编制水平（</w:t>
            </w:r>
            <w:r>
              <w:rPr>
                <w:rFonts w:hint="eastAsia" w:ascii="宋体" w:hAnsi="宋体" w:cs="宋体"/>
                <w:szCs w:val="21"/>
                <w:lang w:val="en-US" w:eastAsia="zh-CN"/>
              </w:rPr>
              <w:t>5</w:t>
            </w:r>
            <w:r>
              <w:rPr>
                <w:rFonts w:hint="eastAsia" w:ascii="宋体" w:hAnsi="宋体" w:cs="宋体"/>
                <w:szCs w:val="21"/>
              </w:rPr>
              <w:t>分）</w:t>
            </w:r>
          </w:p>
        </w:tc>
        <w:tc>
          <w:tcPr>
            <w:tcW w:w="8323" w:type="dxa"/>
            <w:noWrap w:val="0"/>
            <w:vAlign w:val="center"/>
          </w:tcPr>
          <w:p w14:paraId="387B5ED3">
            <w:pPr>
              <w:rPr>
                <w:rFonts w:hint="eastAsia" w:ascii="宋体" w:hAnsi="宋体" w:cs="宋体"/>
                <w:szCs w:val="21"/>
              </w:rPr>
            </w:pPr>
            <w:r>
              <w:rPr>
                <w:rFonts w:hint="eastAsia" w:ascii="宋体" w:hAnsi="宋体" w:cs="宋体"/>
                <w:szCs w:val="21"/>
              </w:rPr>
              <w:t>内容完整且编制合理</w:t>
            </w:r>
            <w:r>
              <w:rPr>
                <w:rFonts w:hint="default" w:ascii="宋体" w:hAnsi="宋体" w:cs="宋体"/>
                <w:szCs w:val="21"/>
                <w:lang w:val="en-US"/>
              </w:rPr>
              <w:t>新颖</w:t>
            </w:r>
            <w:r>
              <w:rPr>
                <w:rFonts w:hint="eastAsia" w:ascii="宋体" w:hAnsi="宋体" w:cs="宋体"/>
                <w:szCs w:val="21"/>
              </w:rPr>
              <w:t>得</w:t>
            </w:r>
            <w:r>
              <w:rPr>
                <w:rFonts w:hint="eastAsia" w:ascii="宋体" w:hAnsi="宋体" w:cs="宋体"/>
                <w:szCs w:val="21"/>
                <w:lang w:val="en-US" w:eastAsia="zh-CN"/>
              </w:rPr>
              <w:t>3-5</w:t>
            </w:r>
            <w:r>
              <w:rPr>
                <w:rFonts w:hint="eastAsia" w:ascii="宋体" w:hAnsi="宋体" w:cs="宋体"/>
                <w:szCs w:val="21"/>
              </w:rPr>
              <w:t>分；内容基本完整且编制基本合理得</w:t>
            </w:r>
            <w:r>
              <w:rPr>
                <w:rFonts w:hint="eastAsia" w:ascii="宋体" w:hAnsi="宋体" w:cs="宋体"/>
                <w:szCs w:val="21"/>
                <w:lang w:val="en-US" w:eastAsia="zh-CN"/>
              </w:rPr>
              <w:t>0-3</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不含</w:t>
            </w:r>
            <w:r>
              <w:rPr>
                <w:rFonts w:hint="eastAsia" w:ascii="宋体" w:hAnsi="宋体" w:cs="宋体"/>
                <w:szCs w:val="21"/>
                <w:lang w:eastAsia="zh-CN"/>
              </w:rPr>
              <w:t>）</w:t>
            </w:r>
            <w:r>
              <w:rPr>
                <w:rFonts w:hint="eastAsia" w:ascii="宋体" w:hAnsi="宋体" w:cs="宋体"/>
                <w:szCs w:val="21"/>
              </w:rPr>
              <w:t>；内容不完整且编制不合理的不得分。</w:t>
            </w:r>
          </w:p>
        </w:tc>
        <w:tc>
          <w:tcPr>
            <w:tcW w:w="1801" w:type="dxa"/>
            <w:noWrap w:val="0"/>
            <w:vAlign w:val="center"/>
          </w:tcPr>
          <w:p w14:paraId="1293E7E1">
            <w:pPr>
              <w:rPr>
                <w:rFonts w:hint="eastAsia" w:ascii="宋体" w:hAnsi="宋体" w:cs="宋体"/>
                <w:szCs w:val="21"/>
              </w:rPr>
            </w:pPr>
          </w:p>
        </w:tc>
      </w:tr>
      <w:tr w14:paraId="0CA69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746" w:type="dxa"/>
            <w:vMerge w:val="continue"/>
            <w:noWrap w:val="0"/>
            <w:vAlign w:val="center"/>
          </w:tcPr>
          <w:p w14:paraId="38A75384">
            <w:pPr>
              <w:jc w:val="center"/>
              <w:rPr>
                <w:rFonts w:hint="eastAsia" w:ascii="宋体" w:hAnsi="宋体" w:cs="宋体"/>
                <w:szCs w:val="21"/>
              </w:rPr>
            </w:pPr>
          </w:p>
        </w:tc>
        <w:tc>
          <w:tcPr>
            <w:tcW w:w="1148" w:type="dxa"/>
            <w:vMerge w:val="continue"/>
            <w:noWrap w:val="0"/>
            <w:vAlign w:val="center"/>
          </w:tcPr>
          <w:p w14:paraId="45A1411B">
            <w:pPr>
              <w:jc w:val="center"/>
              <w:rPr>
                <w:rFonts w:hint="eastAsia" w:ascii="宋体" w:hAnsi="宋体" w:cs="宋体"/>
                <w:szCs w:val="21"/>
              </w:rPr>
            </w:pPr>
          </w:p>
        </w:tc>
        <w:tc>
          <w:tcPr>
            <w:tcW w:w="2438" w:type="dxa"/>
            <w:noWrap w:val="0"/>
            <w:vAlign w:val="center"/>
          </w:tcPr>
          <w:p w14:paraId="0FFCB347">
            <w:pPr>
              <w:jc w:val="left"/>
              <w:rPr>
                <w:rFonts w:hint="eastAsia" w:ascii="宋体" w:hAnsi="宋体" w:cs="宋体"/>
                <w:szCs w:val="21"/>
              </w:rPr>
            </w:pPr>
            <w:r>
              <w:rPr>
                <w:rFonts w:hint="eastAsia" w:ascii="宋体" w:hAnsi="宋体" w:cs="宋体"/>
                <w:szCs w:val="21"/>
                <w:lang w:val="en-US" w:eastAsia="zh-CN"/>
              </w:rPr>
              <w:t>项目</w:t>
            </w:r>
            <w:r>
              <w:rPr>
                <w:rFonts w:hint="eastAsia" w:ascii="宋体" w:hAnsi="宋体" w:cs="宋体"/>
                <w:szCs w:val="21"/>
              </w:rPr>
              <w:t>方案与技术措施（</w:t>
            </w:r>
            <w:r>
              <w:rPr>
                <w:rFonts w:hint="eastAsia" w:ascii="宋体" w:hAnsi="宋体" w:cs="宋体"/>
                <w:szCs w:val="21"/>
                <w:lang w:val="en-US" w:eastAsia="zh-CN"/>
              </w:rPr>
              <w:t>10</w:t>
            </w:r>
            <w:r>
              <w:rPr>
                <w:rFonts w:hint="eastAsia" w:ascii="宋体" w:hAnsi="宋体" w:cs="宋体"/>
                <w:szCs w:val="21"/>
              </w:rPr>
              <w:t>分）</w:t>
            </w:r>
          </w:p>
        </w:tc>
        <w:tc>
          <w:tcPr>
            <w:tcW w:w="8323" w:type="dxa"/>
            <w:noWrap w:val="0"/>
            <w:vAlign w:val="center"/>
          </w:tcPr>
          <w:p w14:paraId="2361A404">
            <w:pPr>
              <w:rPr>
                <w:rFonts w:hint="eastAsia" w:ascii="宋体" w:hAnsi="宋体" w:cs="宋体"/>
                <w:szCs w:val="21"/>
              </w:rPr>
            </w:pPr>
            <w:r>
              <w:rPr>
                <w:rFonts w:hint="eastAsia" w:ascii="宋体" w:hAnsi="宋体" w:cs="宋体"/>
                <w:szCs w:val="21"/>
                <w:lang w:val="en-US" w:eastAsia="zh-CN"/>
              </w:rPr>
              <w:t>运营</w:t>
            </w:r>
            <w:r>
              <w:rPr>
                <w:rFonts w:hint="eastAsia" w:ascii="宋体" w:hAnsi="宋体" w:cs="宋体"/>
                <w:szCs w:val="21"/>
              </w:rPr>
              <w:t>方案合理可行，技术措施</w:t>
            </w:r>
            <w:r>
              <w:rPr>
                <w:rFonts w:hint="eastAsia" w:ascii="宋体" w:hAnsi="宋体" w:cs="宋体"/>
                <w:szCs w:val="21"/>
                <w:lang w:val="en-US" w:eastAsia="zh-CN"/>
              </w:rPr>
              <w:t>项目运营安全</w:t>
            </w:r>
            <w:r>
              <w:rPr>
                <w:rFonts w:hint="eastAsia" w:ascii="宋体" w:hAnsi="宋体" w:cs="宋体"/>
                <w:szCs w:val="21"/>
              </w:rPr>
              <w:t>、</w:t>
            </w:r>
            <w:r>
              <w:rPr>
                <w:rFonts w:hint="eastAsia" w:ascii="宋体" w:hAnsi="宋体" w:cs="宋体"/>
                <w:szCs w:val="21"/>
                <w:lang w:val="en-US" w:eastAsia="zh-CN"/>
              </w:rPr>
              <w:t>服务质量</w:t>
            </w:r>
            <w:r>
              <w:rPr>
                <w:rFonts w:hint="eastAsia" w:ascii="宋体" w:hAnsi="宋体" w:cs="宋体"/>
                <w:szCs w:val="21"/>
              </w:rPr>
              <w:t>有充分保障的得</w:t>
            </w:r>
            <w:r>
              <w:rPr>
                <w:rFonts w:hint="eastAsia" w:ascii="宋体" w:hAnsi="宋体" w:cs="宋体"/>
                <w:szCs w:val="21"/>
                <w:lang w:val="en-US" w:eastAsia="zh-CN"/>
              </w:rPr>
              <w:t>5-10</w:t>
            </w:r>
            <w:r>
              <w:rPr>
                <w:rFonts w:hint="eastAsia" w:ascii="宋体" w:hAnsi="宋体" w:cs="宋体"/>
                <w:szCs w:val="21"/>
              </w:rPr>
              <w:t>分；技术措施</w:t>
            </w:r>
            <w:r>
              <w:rPr>
                <w:rFonts w:hint="eastAsia" w:ascii="宋体" w:hAnsi="宋体" w:cs="宋体"/>
                <w:szCs w:val="21"/>
                <w:lang w:val="en-US" w:eastAsia="zh-CN"/>
              </w:rPr>
              <w:t>项目运营安全</w:t>
            </w:r>
            <w:r>
              <w:rPr>
                <w:rFonts w:hint="eastAsia" w:ascii="宋体" w:hAnsi="宋体" w:cs="宋体"/>
                <w:szCs w:val="21"/>
              </w:rPr>
              <w:t>、</w:t>
            </w:r>
            <w:r>
              <w:rPr>
                <w:rFonts w:hint="eastAsia" w:ascii="宋体" w:hAnsi="宋体" w:cs="宋体"/>
                <w:szCs w:val="21"/>
                <w:lang w:val="en-US" w:eastAsia="zh-CN"/>
              </w:rPr>
              <w:t>服务质量</w:t>
            </w:r>
            <w:r>
              <w:rPr>
                <w:rFonts w:hint="eastAsia" w:ascii="宋体" w:hAnsi="宋体" w:cs="宋体"/>
                <w:szCs w:val="21"/>
              </w:rPr>
              <w:t>有保障的得</w:t>
            </w:r>
            <w:r>
              <w:rPr>
                <w:rFonts w:hint="eastAsia" w:ascii="宋体" w:hAnsi="宋体" w:cs="宋体"/>
                <w:szCs w:val="21"/>
                <w:lang w:val="en-US" w:eastAsia="zh-CN"/>
              </w:rPr>
              <w:t>0-5</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不含</w:t>
            </w:r>
            <w:r>
              <w:rPr>
                <w:rFonts w:hint="eastAsia" w:ascii="宋体" w:hAnsi="宋体" w:cs="宋体"/>
                <w:szCs w:val="21"/>
                <w:lang w:eastAsia="zh-CN"/>
              </w:rPr>
              <w:t>）</w:t>
            </w:r>
            <w:r>
              <w:rPr>
                <w:rFonts w:hint="eastAsia" w:ascii="宋体" w:hAnsi="宋体" w:cs="宋体"/>
                <w:szCs w:val="21"/>
              </w:rPr>
              <w:t>；不合理可行的不得分。</w:t>
            </w:r>
          </w:p>
        </w:tc>
        <w:tc>
          <w:tcPr>
            <w:tcW w:w="1801" w:type="dxa"/>
            <w:noWrap w:val="0"/>
            <w:vAlign w:val="center"/>
          </w:tcPr>
          <w:p w14:paraId="548EC9BC">
            <w:pPr>
              <w:rPr>
                <w:rFonts w:hint="eastAsia" w:ascii="宋体" w:hAnsi="宋体" w:cs="宋体"/>
                <w:szCs w:val="21"/>
                <w:lang w:val="en-US" w:eastAsia="zh-CN"/>
              </w:rPr>
            </w:pPr>
          </w:p>
        </w:tc>
      </w:tr>
      <w:tr w14:paraId="3311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746" w:type="dxa"/>
            <w:vMerge w:val="continue"/>
            <w:noWrap w:val="0"/>
            <w:vAlign w:val="center"/>
          </w:tcPr>
          <w:p w14:paraId="5C9EE75B">
            <w:pPr>
              <w:jc w:val="center"/>
              <w:rPr>
                <w:rFonts w:hint="eastAsia" w:ascii="宋体" w:hAnsi="宋体" w:cs="宋体"/>
                <w:szCs w:val="21"/>
              </w:rPr>
            </w:pPr>
          </w:p>
        </w:tc>
        <w:tc>
          <w:tcPr>
            <w:tcW w:w="1148" w:type="dxa"/>
            <w:vMerge w:val="continue"/>
            <w:noWrap w:val="0"/>
            <w:vAlign w:val="center"/>
          </w:tcPr>
          <w:p w14:paraId="795BCEEC">
            <w:pPr>
              <w:jc w:val="center"/>
              <w:rPr>
                <w:rFonts w:hint="eastAsia" w:ascii="宋体" w:hAnsi="宋体" w:cs="宋体"/>
                <w:szCs w:val="21"/>
              </w:rPr>
            </w:pPr>
          </w:p>
        </w:tc>
        <w:tc>
          <w:tcPr>
            <w:tcW w:w="2438" w:type="dxa"/>
            <w:noWrap w:val="0"/>
            <w:vAlign w:val="center"/>
          </w:tcPr>
          <w:p w14:paraId="1CE29489">
            <w:pPr>
              <w:rPr>
                <w:rFonts w:hint="eastAsia" w:ascii="宋体" w:hAnsi="宋体" w:cs="宋体"/>
                <w:szCs w:val="21"/>
              </w:rPr>
            </w:pPr>
            <w:r>
              <w:rPr>
                <w:rFonts w:hint="eastAsia" w:ascii="宋体" w:hAnsi="宋体" w:cs="宋体"/>
                <w:szCs w:val="21"/>
              </w:rPr>
              <w:t>质量管理体系与措施（</w:t>
            </w:r>
            <w:r>
              <w:rPr>
                <w:rFonts w:hint="eastAsia" w:ascii="宋体" w:hAnsi="宋体" w:cs="宋体"/>
                <w:szCs w:val="21"/>
                <w:lang w:val="en-US" w:eastAsia="zh-CN"/>
              </w:rPr>
              <w:t>10</w:t>
            </w:r>
            <w:r>
              <w:rPr>
                <w:rFonts w:hint="eastAsia" w:ascii="宋体" w:hAnsi="宋体" w:cs="宋体"/>
                <w:szCs w:val="21"/>
              </w:rPr>
              <w:t>分）</w:t>
            </w:r>
          </w:p>
        </w:tc>
        <w:tc>
          <w:tcPr>
            <w:tcW w:w="8323" w:type="dxa"/>
            <w:noWrap w:val="0"/>
            <w:vAlign w:val="center"/>
          </w:tcPr>
          <w:p w14:paraId="0565605C">
            <w:pPr>
              <w:rPr>
                <w:rFonts w:hint="eastAsia" w:ascii="宋体" w:hAnsi="宋体" w:cs="宋体"/>
                <w:szCs w:val="21"/>
              </w:rPr>
            </w:pPr>
            <w:r>
              <w:rPr>
                <w:rFonts w:hint="eastAsia" w:ascii="宋体" w:hAnsi="宋体" w:cs="宋体"/>
                <w:szCs w:val="21"/>
              </w:rPr>
              <w:t>质量管理体系与措施完善的得</w:t>
            </w:r>
            <w:r>
              <w:rPr>
                <w:rFonts w:hint="eastAsia" w:ascii="宋体" w:hAnsi="宋体" w:cs="宋体"/>
                <w:szCs w:val="21"/>
                <w:lang w:val="en-US" w:eastAsia="zh-CN"/>
              </w:rPr>
              <w:t>5-10</w:t>
            </w:r>
            <w:r>
              <w:rPr>
                <w:rFonts w:hint="eastAsia" w:ascii="宋体" w:hAnsi="宋体" w:cs="宋体"/>
                <w:szCs w:val="21"/>
              </w:rPr>
              <w:t>分；基本完善的得</w:t>
            </w:r>
            <w:r>
              <w:rPr>
                <w:rFonts w:hint="eastAsia" w:ascii="宋体" w:hAnsi="宋体" w:cs="宋体"/>
                <w:szCs w:val="21"/>
                <w:lang w:val="en-US" w:eastAsia="zh-CN"/>
              </w:rPr>
              <w:t>0</w:t>
            </w:r>
            <w:r>
              <w:rPr>
                <w:rFonts w:hint="eastAsia" w:ascii="宋体" w:hAnsi="宋体" w:cs="宋体"/>
                <w:szCs w:val="21"/>
              </w:rPr>
              <w:t>-</w:t>
            </w:r>
            <w:r>
              <w:rPr>
                <w:rFonts w:hint="eastAsia" w:ascii="宋体" w:hAnsi="宋体" w:cs="宋体"/>
                <w:szCs w:val="21"/>
                <w:lang w:val="en-US" w:eastAsia="zh-CN"/>
              </w:rPr>
              <w:t>5（不含）</w:t>
            </w:r>
            <w:r>
              <w:rPr>
                <w:rFonts w:hint="eastAsia" w:ascii="宋体" w:hAnsi="宋体" w:cs="宋体"/>
                <w:szCs w:val="21"/>
              </w:rPr>
              <w:t>分；不完善</w:t>
            </w:r>
            <w:r>
              <w:rPr>
                <w:rFonts w:hint="eastAsia" w:ascii="宋体" w:hAnsi="宋体" w:cs="宋体"/>
                <w:szCs w:val="21"/>
                <w:lang w:val="en-US" w:eastAsia="zh-CN"/>
              </w:rPr>
              <w:t>或</w:t>
            </w:r>
            <w:r>
              <w:rPr>
                <w:rFonts w:hint="eastAsia" w:ascii="宋体" w:hAnsi="宋体" w:cs="宋体"/>
                <w:szCs w:val="21"/>
              </w:rPr>
              <w:t>没有的不得分。</w:t>
            </w:r>
          </w:p>
        </w:tc>
        <w:tc>
          <w:tcPr>
            <w:tcW w:w="1801" w:type="dxa"/>
            <w:noWrap w:val="0"/>
            <w:vAlign w:val="center"/>
          </w:tcPr>
          <w:p w14:paraId="72F80972">
            <w:pPr>
              <w:rPr>
                <w:rFonts w:hint="eastAsia" w:ascii="宋体" w:hAnsi="宋体" w:cs="宋体"/>
                <w:szCs w:val="21"/>
              </w:rPr>
            </w:pPr>
          </w:p>
        </w:tc>
      </w:tr>
      <w:tr w14:paraId="1BF8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746" w:type="dxa"/>
            <w:vMerge w:val="continue"/>
            <w:noWrap w:val="0"/>
            <w:vAlign w:val="center"/>
          </w:tcPr>
          <w:p w14:paraId="695ABA67">
            <w:pPr>
              <w:jc w:val="center"/>
              <w:rPr>
                <w:rFonts w:hint="eastAsia" w:ascii="宋体" w:hAnsi="宋体" w:cs="宋体"/>
                <w:szCs w:val="21"/>
              </w:rPr>
            </w:pPr>
          </w:p>
        </w:tc>
        <w:tc>
          <w:tcPr>
            <w:tcW w:w="1148" w:type="dxa"/>
            <w:vMerge w:val="continue"/>
            <w:noWrap w:val="0"/>
            <w:vAlign w:val="center"/>
          </w:tcPr>
          <w:p w14:paraId="1F95B94E">
            <w:pPr>
              <w:jc w:val="center"/>
              <w:rPr>
                <w:rFonts w:hint="eastAsia" w:ascii="宋体" w:hAnsi="宋体" w:cs="宋体"/>
                <w:szCs w:val="21"/>
              </w:rPr>
            </w:pPr>
          </w:p>
        </w:tc>
        <w:tc>
          <w:tcPr>
            <w:tcW w:w="2438" w:type="dxa"/>
            <w:noWrap w:val="0"/>
            <w:vAlign w:val="center"/>
          </w:tcPr>
          <w:p w14:paraId="46924178">
            <w:pPr>
              <w:rPr>
                <w:rFonts w:hint="eastAsia" w:ascii="宋体" w:hAnsi="宋体" w:cs="宋体"/>
                <w:szCs w:val="21"/>
              </w:rPr>
            </w:pPr>
            <w:r>
              <w:rPr>
                <w:rFonts w:hint="eastAsia" w:ascii="宋体" w:hAnsi="宋体" w:cs="宋体"/>
                <w:szCs w:val="21"/>
              </w:rPr>
              <w:t>安全管理体系与措施（</w:t>
            </w:r>
            <w:r>
              <w:rPr>
                <w:rFonts w:hint="eastAsia" w:ascii="宋体" w:hAnsi="宋体" w:cs="宋体"/>
                <w:szCs w:val="21"/>
                <w:lang w:val="en-US" w:eastAsia="zh-CN"/>
              </w:rPr>
              <w:t>5</w:t>
            </w:r>
            <w:r>
              <w:rPr>
                <w:rFonts w:hint="eastAsia" w:ascii="宋体" w:hAnsi="宋体" w:cs="宋体"/>
                <w:szCs w:val="21"/>
              </w:rPr>
              <w:t>分）</w:t>
            </w:r>
          </w:p>
        </w:tc>
        <w:tc>
          <w:tcPr>
            <w:tcW w:w="8323" w:type="dxa"/>
            <w:noWrap w:val="0"/>
            <w:vAlign w:val="center"/>
          </w:tcPr>
          <w:p w14:paraId="52E186B9">
            <w:pPr>
              <w:rPr>
                <w:rFonts w:hint="eastAsia" w:ascii="宋体" w:hAnsi="宋体" w:cs="宋体"/>
                <w:szCs w:val="21"/>
              </w:rPr>
            </w:pPr>
            <w:r>
              <w:rPr>
                <w:rFonts w:hint="eastAsia" w:ascii="宋体" w:hAnsi="宋体" w:cs="宋体"/>
                <w:szCs w:val="21"/>
              </w:rPr>
              <w:t>安全管理体系与措施完善的得</w:t>
            </w:r>
            <w:r>
              <w:rPr>
                <w:rFonts w:hint="eastAsia" w:ascii="宋体" w:hAnsi="宋体" w:cs="宋体"/>
                <w:szCs w:val="21"/>
                <w:lang w:val="en-US" w:eastAsia="zh-CN"/>
              </w:rPr>
              <w:t>3-5</w:t>
            </w:r>
            <w:r>
              <w:rPr>
                <w:rFonts w:hint="eastAsia" w:ascii="宋体" w:hAnsi="宋体" w:cs="宋体"/>
                <w:szCs w:val="21"/>
              </w:rPr>
              <w:t>分；基本完善的得</w:t>
            </w:r>
            <w:r>
              <w:rPr>
                <w:rFonts w:hint="eastAsia" w:ascii="宋体" w:hAnsi="宋体" w:cs="宋体"/>
                <w:szCs w:val="21"/>
                <w:lang w:val="en-US" w:eastAsia="zh-CN"/>
              </w:rPr>
              <w:t>0-3（不含）</w:t>
            </w:r>
            <w:r>
              <w:rPr>
                <w:rFonts w:hint="eastAsia" w:ascii="宋体" w:hAnsi="宋体" w:cs="宋体"/>
                <w:szCs w:val="21"/>
              </w:rPr>
              <w:t>分；不完善</w:t>
            </w:r>
            <w:r>
              <w:rPr>
                <w:rFonts w:hint="eastAsia" w:ascii="宋体" w:hAnsi="宋体" w:cs="宋体"/>
                <w:szCs w:val="21"/>
                <w:lang w:val="en-US" w:eastAsia="zh-CN"/>
              </w:rPr>
              <w:t>或</w:t>
            </w:r>
            <w:r>
              <w:rPr>
                <w:rFonts w:hint="eastAsia" w:ascii="宋体" w:hAnsi="宋体" w:cs="宋体"/>
                <w:szCs w:val="21"/>
              </w:rPr>
              <w:t>没有的不得分。</w:t>
            </w:r>
          </w:p>
        </w:tc>
        <w:tc>
          <w:tcPr>
            <w:tcW w:w="1801" w:type="dxa"/>
            <w:noWrap w:val="0"/>
            <w:vAlign w:val="center"/>
          </w:tcPr>
          <w:p w14:paraId="106E2E6F">
            <w:pPr>
              <w:rPr>
                <w:rFonts w:hint="eastAsia" w:ascii="宋体" w:hAnsi="宋体" w:cs="宋体"/>
                <w:szCs w:val="21"/>
              </w:rPr>
            </w:pPr>
          </w:p>
        </w:tc>
      </w:tr>
      <w:tr w14:paraId="6EF4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46" w:type="dxa"/>
            <w:vMerge w:val="continue"/>
            <w:noWrap w:val="0"/>
            <w:vAlign w:val="center"/>
          </w:tcPr>
          <w:p w14:paraId="0259FF1C">
            <w:pPr>
              <w:jc w:val="center"/>
              <w:rPr>
                <w:rFonts w:hint="eastAsia" w:ascii="宋体" w:hAnsi="宋体" w:cs="宋体"/>
                <w:szCs w:val="21"/>
              </w:rPr>
            </w:pPr>
          </w:p>
        </w:tc>
        <w:tc>
          <w:tcPr>
            <w:tcW w:w="1148" w:type="dxa"/>
            <w:vMerge w:val="continue"/>
            <w:noWrap w:val="0"/>
            <w:vAlign w:val="center"/>
          </w:tcPr>
          <w:p w14:paraId="6CB7590A">
            <w:pPr>
              <w:jc w:val="center"/>
              <w:rPr>
                <w:rFonts w:hint="eastAsia" w:ascii="宋体" w:hAnsi="宋体" w:cs="宋体"/>
                <w:szCs w:val="21"/>
              </w:rPr>
            </w:pPr>
          </w:p>
        </w:tc>
        <w:tc>
          <w:tcPr>
            <w:tcW w:w="2438" w:type="dxa"/>
            <w:noWrap w:val="0"/>
            <w:vAlign w:val="center"/>
          </w:tcPr>
          <w:p w14:paraId="147B8815">
            <w:pPr>
              <w:rPr>
                <w:rFonts w:hint="eastAsia" w:ascii="宋体" w:hAnsi="宋体" w:cs="宋体"/>
                <w:szCs w:val="21"/>
              </w:rPr>
            </w:pPr>
            <w:r>
              <w:rPr>
                <w:rFonts w:hint="eastAsia" w:ascii="宋体" w:hAnsi="宋体" w:cs="宋体"/>
                <w:szCs w:val="21"/>
              </w:rPr>
              <w:t>环境保护管理体系与措施（</w:t>
            </w:r>
            <w:r>
              <w:rPr>
                <w:rFonts w:hint="eastAsia" w:ascii="宋体" w:hAnsi="宋体" w:cs="宋体"/>
                <w:szCs w:val="21"/>
                <w:lang w:val="en-US" w:eastAsia="zh-CN"/>
              </w:rPr>
              <w:t>5</w:t>
            </w:r>
            <w:r>
              <w:rPr>
                <w:rFonts w:hint="eastAsia" w:ascii="宋体" w:hAnsi="宋体" w:cs="宋体"/>
                <w:szCs w:val="21"/>
              </w:rPr>
              <w:t>分）</w:t>
            </w:r>
          </w:p>
        </w:tc>
        <w:tc>
          <w:tcPr>
            <w:tcW w:w="8323" w:type="dxa"/>
            <w:noWrap w:val="0"/>
            <w:vAlign w:val="center"/>
          </w:tcPr>
          <w:p w14:paraId="45434860">
            <w:pPr>
              <w:rPr>
                <w:rFonts w:hint="eastAsia" w:ascii="宋体" w:hAnsi="宋体" w:cs="宋体"/>
                <w:szCs w:val="21"/>
              </w:rPr>
            </w:pPr>
            <w:r>
              <w:rPr>
                <w:rFonts w:hint="eastAsia" w:ascii="宋体" w:hAnsi="宋体" w:cs="宋体"/>
                <w:szCs w:val="21"/>
              </w:rPr>
              <w:t>环境保护管理体系与措施完善的得</w:t>
            </w:r>
            <w:r>
              <w:rPr>
                <w:rFonts w:hint="eastAsia" w:ascii="宋体" w:hAnsi="宋体" w:cs="宋体"/>
                <w:szCs w:val="21"/>
                <w:lang w:val="en-US" w:eastAsia="zh-CN"/>
              </w:rPr>
              <w:t>3-5</w:t>
            </w:r>
            <w:r>
              <w:rPr>
                <w:rFonts w:hint="eastAsia" w:ascii="宋体" w:hAnsi="宋体" w:cs="宋体"/>
                <w:szCs w:val="21"/>
              </w:rPr>
              <w:t>分；基本完善的得</w:t>
            </w:r>
            <w:r>
              <w:rPr>
                <w:rFonts w:hint="eastAsia" w:ascii="宋体" w:hAnsi="宋体" w:cs="宋体"/>
                <w:szCs w:val="21"/>
                <w:lang w:val="en-US" w:eastAsia="zh-CN"/>
              </w:rPr>
              <w:t>0</w:t>
            </w:r>
            <w:r>
              <w:rPr>
                <w:rFonts w:hint="eastAsia" w:ascii="宋体" w:hAnsi="宋体" w:cs="宋体"/>
                <w:szCs w:val="21"/>
              </w:rPr>
              <w:t>-</w:t>
            </w:r>
            <w:r>
              <w:rPr>
                <w:rFonts w:hint="eastAsia" w:ascii="宋体" w:hAnsi="宋体" w:cs="宋体"/>
                <w:szCs w:val="21"/>
                <w:lang w:val="en-US" w:eastAsia="zh-CN"/>
              </w:rPr>
              <w:t>3（不含）</w:t>
            </w:r>
            <w:r>
              <w:rPr>
                <w:rFonts w:hint="eastAsia" w:ascii="宋体" w:hAnsi="宋体" w:cs="宋体"/>
                <w:szCs w:val="21"/>
              </w:rPr>
              <w:t>分；不完善</w:t>
            </w:r>
            <w:r>
              <w:rPr>
                <w:rFonts w:hint="eastAsia" w:ascii="宋体" w:hAnsi="宋体" w:cs="宋体"/>
                <w:szCs w:val="21"/>
                <w:lang w:val="en-US" w:eastAsia="zh-CN"/>
              </w:rPr>
              <w:t>或</w:t>
            </w:r>
            <w:r>
              <w:rPr>
                <w:rFonts w:hint="eastAsia" w:ascii="宋体" w:hAnsi="宋体" w:cs="宋体"/>
                <w:szCs w:val="21"/>
              </w:rPr>
              <w:t>没有的不得分。</w:t>
            </w:r>
          </w:p>
        </w:tc>
        <w:tc>
          <w:tcPr>
            <w:tcW w:w="1801" w:type="dxa"/>
            <w:noWrap w:val="0"/>
            <w:vAlign w:val="center"/>
          </w:tcPr>
          <w:p w14:paraId="4562D5F6">
            <w:pPr>
              <w:rPr>
                <w:rFonts w:hint="eastAsia" w:ascii="宋体" w:hAnsi="宋体" w:cs="宋体"/>
                <w:szCs w:val="21"/>
              </w:rPr>
            </w:pPr>
          </w:p>
        </w:tc>
      </w:tr>
      <w:tr w14:paraId="04520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746" w:type="dxa"/>
            <w:vMerge w:val="continue"/>
            <w:noWrap w:val="0"/>
            <w:vAlign w:val="center"/>
          </w:tcPr>
          <w:p w14:paraId="60EB5F16">
            <w:pPr>
              <w:jc w:val="center"/>
              <w:rPr>
                <w:rFonts w:hint="eastAsia" w:ascii="宋体" w:hAnsi="宋体" w:cs="宋体"/>
                <w:szCs w:val="21"/>
              </w:rPr>
            </w:pPr>
          </w:p>
        </w:tc>
        <w:tc>
          <w:tcPr>
            <w:tcW w:w="1148" w:type="dxa"/>
            <w:vMerge w:val="continue"/>
            <w:noWrap w:val="0"/>
            <w:vAlign w:val="center"/>
          </w:tcPr>
          <w:p w14:paraId="54DE4500">
            <w:pPr>
              <w:jc w:val="center"/>
              <w:rPr>
                <w:rFonts w:hint="eastAsia" w:ascii="宋体" w:hAnsi="宋体" w:cs="宋体"/>
                <w:szCs w:val="21"/>
              </w:rPr>
            </w:pPr>
          </w:p>
        </w:tc>
        <w:tc>
          <w:tcPr>
            <w:tcW w:w="2438" w:type="dxa"/>
            <w:noWrap w:val="0"/>
            <w:vAlign w:val="center"/>
          </w:tcPr>
          <w:p w14:paraId="5F4441A2">
            <w:pPr>
              <w:rPr>
                <w:rFonts w:hint="eastAsia" w:ascii="宋体" w:hAnsi="宋体" w:cs="宋体"/>
                <w:szCs w:val="21"/>
              </w:rPr>
            </w:pPr>
            <w:r>
              <w:rPr>
                <w:rFonts w:hint="eastAsia" w:ascii="宋体" w:hAnsi="宋体" w:cs="宋体"/>
                <w:szCs w:val="21"/>
                <w:lang w:val="en-US" w:eastAsia="zh-CN"/>
              </w:rPr>
              <w:t>设施设备及人员配备</w:t>
            </w:r>
            <w:r>
              <w:rPr>
                <w:rFonts w:hint="eastAsia" w:ascii="宋体" w:hAnsi="宋体" w:cs="宋体"/>
                <w:szCs w:val="21"/>
              </w:rPr>
              <w:t>计划与措施（</w:t>
            </w:r>
            <w:r>
              <w:rPr>
                <w:rFonts w:hint="eastAsia" w:ascii="宋体" w:hAnsi="宋体" w:cs="宋体"/>
                <w:szCs w:val="21"/>
                <w:lang w:val="en-US" w:eastAsia="zh-CN"/>
              </w:rPr>
              <w:t>5</w:t>
            </w:r>
            <w:r>
              <w:rPr>
                <w:rFonts w:hint="eastAsia" w:ascii="宋体" w:hAnsi="宋体" w:cs="宋体"/>
                <w:szCs w:val="21"/>
              </w:rPr>
              <w:t>分）</w:t>
            </w:r>
          </w:p>
        </w:tc>
        <w:tc>
          <w:tcPr>
            <w:tcW w:w="8323" w:type="dxa"/>
            <w:noWrap w:val="0"/>
            <w:vAlign w:val="center"/>
          </w:tcPr>
          <w:p w14:paraId="3D1E848E">
            <w:pPr>
              <w:rPr>
                <w:rFonts w:hint="eastAsia" w:ascii="宋体" w:hAnsi="宋体" w:eastAsia="宋体" w:cs="宋体"/>
                <w:szCs w:val="21"/>
                <w:lang w:eastAsia="zh-CN"/>
              </w:rPr>
            </w:pPr>
            <w:r>
              <w:rPr>
                <w:rFonts w:hint="eastAsia" w:ascii="宋体" w:hAnsi="宋体" w:cs="宋体"/>
                <w:szCs w:val="21"/>
                <w:lang w:val="en-US" w:eastAsia="zh-CN"/>
              </w:rPr>
              <w:t>设施设备及人员配备</w:t>
            </w:r>
            <w:r>
              <w:rPr>
                <w:rFonts w:hint="eastAsia" w:ascii="宋体" w:hAnsi="宋体" w:cs="宋体"/>
                <w:szCs w:val="21"/>
              </w:rPr>
              <w:t>计划与措施合理可行，且满足</w:t>
            </w:r>
            <w:r>
              <w:rPr>
                <w:rFonts w:hint="eastAsia" w:ascii="宋体" w:hAnsi="宋体" w:cs="宋体"/>
                <w:szCs w:val="21"/>
                <w:lang w:val="en-US" w:eastAsia="zh-CN"/>
              </w:rPr>
              <w:t>安全生产、提高服务</w:t>
            </w:r>
            <w:r>
              <w:rPr>
                <w:rFonts w:hint="eastAsia" w:ascii="宋体" w:hAnsi="宋体" w:cs="宋体"/>
                <w:szCs w:val="21"/>
              </w:rPr>
              <w:t>的得</w:t>
            </w:r>
            <w:r>
              <w:rPr>
                <w:rFonts w:hint="eastAsia" w:ascii="宋体" w:hAnsi="宋体" w:cs="宋体"/>
                <w:szCs w:val="21"/>
                <w:lang w:val="en-US" w:eastAsia="zh-CN"/>
              </w:rPr>
              <w:t>4-5</w:t>
            </w:r>
            <w:r>
              <w:rPr>
                <w:rFonts w:hint="eastAsia" w:ascii="宋体" w:hAnsi="宋体" w:cs="宋体"/>
                <w:szCs w:val="21"/>
              </w:rPr>
              <w:t>分；</w:t>
            </w:r>
            <w:r>
              <w:rPr>
                <w:rFonts w:hint="eastAsia" w:ascii="宋体" w:hAnsi="宋体" w:cs="宋体"/>
                <w:szCs w:val="21"/>
                <w:lang w:val="en-US" w:eastAsia="zh-CN"/>
              </w:rPr>
              <w:t>设施设备及人员配备</w:t>
            </w:r>
            <w:r>
              <w:rPr>
                <w:rFonts w:hint="eastAsia" w:ascii="宋体" w:hAnsi="宋体" w:cs="宋体"/>
                <w:szCs w:val="21"/>
              </w:rPr>
              <w:t>计划与措施基本合理可行，且满足</w:t>
            </w:r>
            <w:r>
              <w:rPr>
                <w:rFonts w:hint="eastAsia" w:ascii="宋体" w:hAnsi="宋体" w:cs="宋体"/>
                <w:szCs w:val="21"/>
                <w:lang w:val="en-US" w:eastAsia="zh-CN"/>
              </w:rPr>
              <w:t>安全生产、提高服务</w:t>
            </w:r>
            <w:r>
              <w:rPr>
                <w:rFonts w:hint="eastAsia" w:ascii="宋体" w:hAnsi="宋体" w:cs="宋体"/>
                <w:szCs w:val="21"/>
              </w:rPr>
              <w:t>的得</w:t>
            </w:r>
            <w:r>
              <w:rPr>
                <w:rFonts w:hint="eastAsia" w:ascii="宋体" w:hAnsi="宋体" w:cs="宋体"/>
                <w:szCs w:val="21"/>
                <w:lang w:val="en-US" w:eastAsia="zh-CN"/>
              </w:rPr>
              <w:t>0-4</w:t>
            </w:r>
            <w:r>
              <w:rPr>
                <w:rFonts w:hint="eastAsia" w:ascii="宋体" w:hAnsi="宋体" w:cs="宋体"/>
                <w:szCs w:val="21"/>
              </w:rPr>
              <w:t>分</w:t>
            </w:r>
            <w:r>
              <w:rPr>
                <w:rFonts w:hint="eastAsia" w:ascii="宋体" w:hAnsi="宋体" w:cs="宋体"/>
                <w:szCs w:val="21"/>
                <w:lang w:eastAsia="zh-CN"/>
              </w:rPr>
              <w:t>。</w:t>
            </w:r>
          </w:p>
        </w:tc>
        <w:tc>
          <w:tcPr>
            <w:tcW w:w="1801" w:type="dxa"/>
            <w:noWrap w:val="0"/>
            <w:vAlign w:val="center"/>
          </w:tcPr>
          <w:p w14:paraId="22537C87">
            <w:pPr>
              <w:rPr>
                <w:rFonts w:hint="eastAsia" w:ascii="宋体" w:hAnsi="宋体" w:cs="宋体"/>
                <w:szCs w:val="21"/>
                <w:lang w:val="en-US" w:eastAsia="zh-CN"/>
              </w:rPr>
            </w:pPr>
          </w:p>
        </w:tc>
      </w:tr>
      <w:tr w14:paraId="109BB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746" w:type="dxa"/>
            <w:noWrap w:val="0"/>
            <w:vAlign w:val="center"/>
          </w:tcPr>
          <w:p w14:paraId="0654960B">
            <w:pPr>
              <w:jc w:val="center"/>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.2.</w:t>
            </w:r>
            <w:r>
              <w:rPr>
                <w:rFonts w:hint="eastAsia" w:ascii="宋体" w:hAnsi="宋体" w:cs="宋体"/>
                <w:szCs w:val="21"/>
                <w:highlight w:val="none"/>
                <w:lang w:val="en-US" w:eastAsia="zh-CN"/>
              </w:rPr>
              <w:t>3</w:t>
            </w:r>
            <w:r>
              <w:rPr>
                <w:rFonts w:hint="eastAsia" w:ascii="宋体" w:hAnsi="宋体" w:cs="宋体"/>
                <w:szCs w:val="21"/>
                <w:highlight w:val="none"/>
              </w:rPr>
              <w:t>（2）</w:t>
            </w:r>
          </w:p>
        </w:tc>
        <w:tc>
          <w:tcPr>
            <w:tcW w:w="1148" w:type="dxa"/>
            <w:noWrap w:val="0"/>
            <w:vAlign w:val="center"/>
          </w:tcPr>
          <w:p w14:paraId="70A775F9">
            <w:pPr>
              <w:jc w:val="center"/>
              <w:rPr>
                <w:rFonts w:hint="eastAsia" w:ascii="宋体" w:hAnsi="宋体" w:cs="宋体"/>
                <w:szCs w:val="21"/>
                <w:highlight w:val="none"/>
              </w:rPr>
            </w:pPr>
            <w:r>
              <w:rPr>
                <w:rFonts w:hint="eastAsia" w:ascii="宋体" w:hAnsi="宋体" w:cs="宋体"/>
                <w:szCs w:val="21"/>
                <w:highlight w:val="none"/>
                <w:lang w:eastAsia="zh-CN"/>
              </w:rPr>
              <w:t>分成比例</w:t>
            </w:r>
            <w:r>
              <w:rPr>
                <w:rFonts w:hint="eastAsia" w:ascii="宋体" w:hAnsi="宋体" w:cs="宋体"/>
                <w:szCs w:val="21"/>
                <w:highlight w:val="none"/>
              </w:rPr>
              <w:t>评分标准</w:t>
            </w:r>
          </w:p>
          <w:p w14:paraId="58798000">
            <w:pPr>
              <w:jc w:val="center"/>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35</w:t>
            </w:r>
            <w:r>
              <w:rPr>
                <w:rFonts w:hint="eastAsia" w:ascii="宋体" w:hAnsi="宋体" w:cs="宋体"/>
                <w:szCs w:val="21"/>
                <w:highlight w:val="none"/>
              </w:rPr>
              <w:t>分）</w:t>
            </w:r>
          </w:p>
        </w:tc>
        <w:tc>
          <w:tcPr>
            <w:tcW w:w="2438" w:type="dxa"/>
            <w:noWrap w:val="0"/>
            <w:vAlign w:val="center"/>
          </w:tcPr>
          <w:p w14:paraId="276875CD">
            <w:pPr>
              <w:jc w:val="center"/>
              <w:rPr>
                <w:rFonts w:hint="eastAsia" w:ascii="宋体" w:hAnsi="宋体" w:cs="宋体"/>
                <w:szCs w:val="21"/>
                <w:highlight w:val="none"/>
              </w:rPr>
            </w:pPr>
            <w:r>
              <w:rPr>
                <w:rFonts w:hint="eastAsia" w:ascii="宋体" w:hAnsi="宋体" w:cs="宋体"/>
                <w:szCs w:val="21"/>
                <w:highlight w:val="none"/>
                <w:lang w:eastAsia="zh-CN"/>
              </w:rPr>
              <w:t>分成比例</w:t>
            </w:r>
            <w:r>
              <w:rPr>
                <w:rFonts w:hint="eastAsia" w:ascii="宋体" w:hAnsi="宋体" w:cs="宋体"/>
                <w:szCs w:val="21"/>
                <w:highlight w:val="none"/>
              </w:rPr>
              <w:t>得分（</w:t>
            </w:r>
            <w:r>
              <w:rPr>
                <w:rFonts w:hint="eastAsia" w:ascii="宋体" w:hAnsi="宋体" w:cs="宋体"/>
                <w:szCs w:val="21"/>
                <w:highlight w:val="none"/>
                <w:lang w:val="en-US" w:eastAsia="zh-CN"/>
              </w:rPr>
              <w:t>35</w:t>
            </w:r>
            <w:r>
              <w:rPr>
                <w:rFonts w:hint="eastAsia" w:ascii="宋体" w:hAnsi="宋体" w:cs="宋体"/>
                <w:szCs w:val="21"/>
                <w:highlight w:val="none"/>
              </w:rPr>
              <w:t>分）</w:t>
            </w:r>
          </w:p>
        </w:tc>
        <w:tc>
          <w:tcPr>
            <w:tcW w:w="8323" w:type="dxa"/>
            <w:noWrap w:val="0"/>
            <w:vAlign w:val="center"/>
          </w:tcPr>
          <w:p w14:paraId="078F0246">
            <w:pPr>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满足招标方收入分成要求的得30分，给招标方每多分0.2成者加2分</w:t>
            </w:r>
          </w:p>
        </w:tc>
        <w:tc>
          <w:tcPr>
            <w:tcW w:w="1801" w:type="dxa"/>
            <w:noWrap w:val="0"/>
            <w:vAlign w:val="center"/>
          </w:tcPr>
          <w:p w14:paraId="69C70FBE">
            <w:pPr>
              <w:jc w:val="left"/>
              <w:rPr>
                <w:rFonts w:hint="eastAsia" w:ascii="宋体" w:hAnsi="宋体" w:eastAsia="宋体" w:cs="宋体"/>
                <w:szCs w:val="21"/>
                <w:highlight w:val="none"/>
                <w:lang w:val="en-US" w:eastAsia="zh-CN"/>
              </w:rPr>
            </w:pPr>
          </w:p>
        </w:tc>
      </w:tr>
      <w:tr w14:paraId="532BD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746" w:type="dxa"/>
            <w:vMerge w:val="restart"/>
            <w:noWrap w:val="0"/>
            <w:vAlign w:val="center"/>
          </w:tcPr>
          <w:p w14:paraId="319D7F68">
            <w:pPr>
              <w:jc w:val="center"/>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.2.4</w:t>
            </w:r>
          </w:p>
          <w:p w14:paraId="181392D9">
            <w:pPr>
              <w:jc w:val="center"/>
              <w:rPr>
                <w:rFonts w:hint="eastAsia" w:ascii="宋体" w:hAnsi="宋体" w:cs="宋体"/>
                <w:szCs w:val="21"/>
              </w:rPr>
            </w:pPr>
            <w:r>
              <w:rPr>
                <w:rFonts w:hint="eastAsia" w:ascii="宋体" w:hAnsi="宋体" w:cs="宋体"/>
                <w:szCs w:val="21"/>
              </w:rPr>
              <w:t>（3）</w:t>
            </w:r>
          </w:p>
        </w:tc>
        <w:tc>
          <w:tcPr>
            <w:tcW w:w="1148" w:type="dxa"/>
            <w:vMerge w:val="restart"/>
            <w:noWrap w:val="0"/>
            <w:vAlign w:val="center"/>
          </w:tcPr>
          <w:p w14:paraId="6A610B8F">
            <w:pPr>
              <w:jc w:val="center"/>
              <w:rPr>
                <w:rFonts w:hint="eastAsia" w:ascii="宋体" w:hAnsi="宋体" w:cs="宋体"/>
                <w:szCs w:val="21"/>
              </w:rPr>
            </w:pPr>
            <w:r>
              <w:rPr>
                <w:rFonts w:hint="eastAsia" w:ascii="宋体" w:hAnsi="宋体" w:cs="宋体"/>
                <w:szCs w:val="21"/>
              </w:rPr>
              <w:t>其他因素评分标准</w:t>
            </w:r>
          </w:p>
          <w:p w14:paraId="0166965C">
            <w:pPr>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25</w:t>
            </w:r>
            <w:r>
              <w:rPr>
                <w:rFonts w:hint="eastAsia" w:ascii="宋体" w:hAnsi="宋体" w:cs="宋体"/>
                <w:szCs w:val="21"/>
              </w:rPr>
              <w:t>分）</w:t>
            </w:r>
          </w:p>
        </w:tc>
        <w:tc>
          <w:tcPr>
            <w:tcW w:w="2438" w:type="dxa"/>
            <w:noWrap w:val="0"/>
            <w:vAlign w:val="center"/>
          </w:tcPr>
          <w:p w14:paraId="7379E25D">
            <w:pPr>
              <w:jc w:val="left"/>
              <w:rPr>
                <w:rFonts w:hint="eastAsia" w:ascii="宋体" w:hAnsi="宋体" w:cs="宋体"/>
                <w:color w:val="000000"/>
                <w:szCs w:val="21"/>
              </w:rPr>
            </w:pPr>
            <w:r>
              <w:rPr>
                <w:rFonts w:hint="eastAsia" w:ascii="宋体" w:hAnsi="宋体" w:cs="宋体"/>
                <w:color w:val="000000"/>
                <w:szCs w:val="21"/>
              </w:rPr>
              <w:t>企业业绩（</w:t>
            </w:r>
            <w:r>
              <w:rPr>
                <w:rFonts w:hint="eastAsia" w:ascii="宋体" w:hAnsi="宋体" w:cs="宋体"/>
                <w:color w:val="000000"/>
                <w:szCs w:val="21"/>
                <w:lang w:val="en-US" w:eastAsia="zh-CN"/>
              </w:rPr>
              <w:t>1</w:t>
            </w:r>
            <w:r>
              <w:rPr>
                <w:rFonts w:hint="eastAsia" w:ascii="宋体" w:hAnsi="宋体" w:cs="宋体"/>
                <w:color w:val="000000"/>
                <w:szCs w:val="21"/>
              </w:rPr>
              <w:t>分）</w:t>
            </w:r>
          </w:p>
        </w:tc>
        <w:tc>
          <w:tcPr>
            <w:tcW w:w="8323" w:type="dxa"/>
            <w:noWrap w:val="0"/>
            <w:vAlign w:val="center"/>
          </w:tcPr>
          <w:p w14:paraId="7016B9EA">
            <w:pPr>
              <w:jc w:val="left"/>
              <w:rPr>
                <w:rFonts w:hint="eastAsia" w:ascii="宋体" w:hAnsi="宋体" w:eastAsia="宋体" w:cs="宋体"/>
                <w:color w:val="000000"/>
                <w:szCs w:val="21"/>
                <w:lang w:eastAsia="zh-CN"/>
              </w:rPr>
            </w:pPr>
            <w:r>
              <w:rPr>
                <w:rFonts w:hint="eastAsia" w:ascii="宋体" w:hAnsi="宋体" w:cs="宋体"/>
                <w:color w:val="000000"/>
                <w:szCs w:val="21"/>
                <w:lang w:val="en-US" w:eastAsia="zh-CN"/>
              </w:rPr>
              <w:t>参与商</w:t>
            </w:r>
            <w:r>
              <w:rPr>
                <w:rFonts w:hint="eastAsia" w:ascii="宋体" w:hAnsi="宋体" w:cs="宋体"/>
                <w:color w:val="000000"/>
                <w:szCs w:val="21"/>
              </w:rPr>
              <w:t>近三年内（202</w:t>
            </w:r>
            <w:r>
              <w:rPr>
                <w:rFonts w:hint="eastAsia" w:ascii="宋体" w:hAnsi="宋体" w:cs="宋体"/>
                <w:color w:val="000000"/>
                <w:szCs w:val="21"/>
                <w:lang w:val="en-US" w:eastAsia="zh-CN"/>
              </w:rPr>
              <w:t>2</w:t>
            </w:r>
            <w:r>
              <w:rPr>
                <w:rFonts w:hint="eastAsia" w:ascii="宋体" w:hAnsi="宋体" w:cs="宋体"/>
                <w:color w:val="000000"/>
                <w:szCs w:val="21"/>
              </w:rPr>
              <w:t>年</w:t>
            </w:r>
            <w:r>
              <w:rPr>
                <w:rFonts w:hint="eastAsia" w:ascii="宋体" w:hAnsi="宋体" w:cs="宋体"/>
                <w:color w:val="000000"/>
                <w:szCs w:val="21"/>
                <w:lang w:val="en-US" w:eastAsia="zh-CN"/>
              </w:rPr>
              <w:t>3</w:t>
            </w:r>
            <w:r>
              <w:rPr>
                <w:rFonts w:hint="eastAsia" w:ascii="宋体" w:hAnsi="宋体" w:cs="宋体"/>
                <w:color w:val="000000"/>
                <w:szCs w:val="21"/>
              </w:rPr>
              <w:t>月1日起至投标截止日）完成的我国境内的</w:t>
            </w:r>
            <w:r>
              <w:rPr>
                <w:rFonts w:hint="eastAsia" w:ascii="宋体" w:hAnsi="宋体" w:cs="宋体"/>
                <w:color w:val="000000"/>
                <w:szCs w:val="21"/>
                <w:lang w:val="en-US" w:eastAsia="zh-CN"/>
              </w:rPr>
              <w:t>本项目同类运营</w:t>
            </w:r>
            <w:r>
              <w:rPr>
                <w:rFonts w:hint="eastAsia" w:ascii="宋体" w:hAnsi="宋体" w:cs="宋体"/>
                <w:color w:val="000000"/>
                <w:szCs w:val="21"/>
              </w:rPr>
              <w:t>项目业绩，投标人提供一项加</w:t>
            </w:r>
            <w:r>
              <w:rPr>
                <w:rFonts w:hint="eastAsia" w:ascii="宋体" w:hAnsi="宋体" w:cs="宋体"/>
                <w:color w:val="000000"/>
                <w:szCs w:val="21"/>
                <w:lang w:val="en-US" w:eastAsia="zh-CN"/>
              </w:rPr>
              <w:t>0.5</w:t>
            </w:r>
            <w:r>
              <w:rPr>
                <w:rFonts w:hint="eastAsia" w:ascii="宋体" w:hAnsi="宋体" w:cs="宋体"/>
                <w:color w:val="000000"/>
                <w:szCs w:val="21"/>
              </w:rPr>
              <w:t>分，最多得</w:t>
            </w:r>
            <w:r>
              <w:rPr>
                <w:rFonts w:hint="eastAsia" w:ascii="宋体" w:hAnsi="宋体" w:cs="宋体"/>
                <w:color w:val="000000"/>
                <w:szCs w:val="21"/>
                <w:lang w:val="en-US" w:eastAsia="zh-CN"/>
              </w:rPr>
              <w:t>1</w:t>
            </w:r>
            <w:r>
              <w:rPr>
                <w:rFonts w:hint="eastAsia" w:ascii="宋体" w:hAnsi="宋体" w:cs="宋体"/>
                <w:color w:val="000000"/>
                <w:szCs w:val="21"/>
              </w:rPr>
              <w:t>分，没有不得分。（</w:t>
            </w:r>
            <w:r>
              <w:rPr>
                <w:rFonts w:hint="eastAsia" w:ascii="宋体" w:hAnsi="宋体" w:cs="宋体"/>
                <w:color w:val="000000"/>
                <w:szCs w:val="21"/>
                <w:lang w:val="en-US" w:eastAsia="zh-CN"/>
              </w:rPr>
              <w:t>提供</w:t>
            </w:r>
            <w:r>
              <w:rPr>
                <w:rFonts w:hint="eastAsia" w:ascii="宋体" w:hAnsi="宋体" w:cs="宋体"/>
                <w:color w:val="000000"/>
                <w:szCs w:val="21"/>
              </w:rPr>
              <w:t>合同（首页、项目内容页、盖章页）</w:t>
            </w:r>
            <w:r>
              <w:rPr>
                <w:rFonts w:hint="eastAsia" w:ascii="宋体" w:hAnsi="宋体" w:cs="宋体"/>
                <w:color w:val="000000"/>
                <w:szCs w:val="21"/>
                <w:lang w:eastAsia="zh-CN"/>
              </w:rPr>
              <w:t>。</w:t>
            </w:r>
          </w:p>
        </w:tc>
        <w:tc>
          <w:tcPr>
            <w:tcW w:w="1801" w:type="dxa"/>
            <w:noWrap w:val="0"/>
            <w:vAlign w:val="center"/>
          </w:tcPr>
          <w:p w14:paraId="6CEC90FF">
            <w:pPr>
              <w:jc w:val="left"/>
              <w:rPr>
                <w:rFonts w:hint="eastAsia" w:ascii="宋体" w:hAnsi="宋体" w:cs="宋体"/>
                <w:color w:val="000000"/>
                <w:szCs w:val="21"/>
                <w:lang w:val="en-US" w:eastAsia="zh-CN"/>
              </w:rPr>
            </w:pPr>
          </w:p>
        </w:tc>
      </w:tr>
      <w:tr w14:paraId="1664D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46" w:type="dxa"/>
            <w:vMerge w:val="continue"/>
            <w:noWrap w:val="0"/>
            <w:vAlign w:val="center"/>
          </w:tcPr>
          <w:p w14:paraId="0D4F16ED">
            <w:pPr>
              <w:jc w:val="center"/>
              <w:rPr>
                <w:rFonts w:hint="eastAsia" w:ascii="宋体" w:hAnsi="宋体" w:cs="宋体"/>
                <w:szCs w:val="21"/>
              </w:rPr>
            </w:pPr>
          </w:p>
        </w:tc>
        <w:tc>
          <w:tcPr>
            <w:tcW w:w="1148" w:type="dxa"/>
            <w:vMerge w:val="continue"/>
            <w:noWrap w:val="0"/>
            <w:vAlign w:val="center"/>
          </w:tcPr>
          <w:p w14:paraId="485A19A7">
            <w:pPr>
              <w:jc w:val="center"/>
              <w:rPr>
                <w:rFonts w:hint="eastAsia" w:ascii="宋体" w:hAnsi="宋体" w:cs="宋体"/>
                <w:szCs w:val="21"/>
              </w:rPr>
            </w:pPr>
          </w:p>
        </w:tc>
        <w:tc>
          <w:tcPr>
            <w:tcW w:w="2438" w:type="dxa"/>
            <w:noWrap w:val="0"/>
            <w:vAlign w:val="center"/>
          </w:tcPr>
          <w:p w14:paraId="26E97668">
            <w:pPr>
              <w:rPr>
                <w:rFonts w:hint="eastAsia" w:ascii="宋体" w:hAnsi="宋体" w:eastAsia="宋体" w:cs="宋体"/>
                <w:color w:val="000000"/>
                <w:szCs w:val="21"/>
                <w:lang w:val="en-US" w:eastAsia="zh-CN"/>
              </w:rPr>
            </w:pPr>
            <w:r>
              <w:rPr>
                <w:rFonts w:hint="eastAsia" w:ascii="宋体" w:hAnsi="宋体" w:eastAsia="宋体" w:cs="宋体"/>
                <w:color w:val="000000"/>
                <w:kern w:val="2"/>
                <w:sz w:val="21"/>
                <w:szCs w:val="21"/>
                <w:highlight w:val="none"/>
                <w:lang w:val="en-US" w:eastAsia="zh-CN" w:bidi="ar-SA"/>
              </w:rPr>
              <w:t>企业获奖（</w:t>
            </w:r>
            <w:r>
              <w:rPr>
                <w:rFonts w:hint="eastAsia" w:ascii="宋体" w:hAnsi="宋体" w:cs="宋体"/>
                <w:color w:val="000000"/>
                <w:kern w:val="2"/>
                <w:sz w:val="21"/>
                <w:szCs w:val="21"/>
                <w:highlight w:val="none"/>
                <w:lang w:val="en-US" w:eastAsia="zh-CN" w:bidi="ar-SA"/>
              </w:rPr>
              <w:t>1</w:t>
            </w:r>
            <w:r>
              <w:rPr>
                <w:rFonts w:hint="eastAsia" w:ascii="宋体" w:hAnsi="宋体" w:eastAsia="宋体" w:cs="宋体"/>
                <w:color w:val="000000"/>
                <w:kern w:val="2"/>
                <w:sz w:val="21"/>
                <w:szCs w:val="21"/>
                <w:highlight w:val="none"/>
                <w:lang w:val="en-US" w:eastAsia="zh-CN" w:bidi="ar-SA"/>
              </w:rPr>
              <w:t>分）</w:t>
            </w:r>
          </w:p>
        </w:tc>
        <w:tc>
          <w:tcPr>
            <w:tcW w:w="8323" w:type="dxa"/>
            <w:noWrap w:val="0"/>
            <w:vAlign w:val="center"/>
          </w:tcPr>
          <w:p w14:paraId="4A9E78B1">
            <w:pPr>
              <w:rPr>
                <w:rFonts w:hint="eastAsia" w:ascii="宋体" w:hAnsi="宋体" w:cs="宋体"/>
                <w:color w:val="000000"/>
                <w:szCs w:val="21"/>
              </w:rPr>
            </w:pPr>
            <w:r>
              <w:rPr>
                <w:rFonts w:hint="eastAsia" w:ascii="宋体" w:hAnsi="宋体" w:cs="宋体"/>
                <w:color w:val="000000"/>
                <w:spacing w:val="-6"/>
                <w:kern w:val="0"/>
                <w:szCs w:val="21"/>
                <w:highlight w:val="none"/>
                <w:lang w:val="en-US" w:eastAsia="zh-CN"/>
              </w:rPr>
              <w:t>投标人</w:t>
            </w:r>
            <w:r>
              <w:rPr>
                <w:rFonts w:hint="eastAsia" w:ascii="宋体" w:hAnsi="宋体" w:cs="宋体"/>
                <w:color w:val="000000"/>
                <w:spacing w:val="-6"/>
                <w:kern w:val="0"/>
                <w:szCs w:val="21"/>
                <w:highlight w:val="none"/>
              </w:rPr>
              <w:t>近五年（20</w:t>
            </w:r>
            <w:r>
              <w:rPr>
                <w:rFonts w:hint="eastAsia" w:ascii="宋体" w:hAnsi="宋体" w:cs="宋体"/>
                <w:color w:val="000000"/>
                <w:spacing w:val="-6"/>
                <w:kern w:val="0"/>
                <w:szCs w:val="21"/>
                <w:highlight w:val="none"/>
                <w:lang w:val="en-US" w:eastAsia="zh-CN"/>
              </w:rPr>
              <w:t>20</w:t>
            </w:r>
            <w:r>
              <w:rPr>
                <w:rFonts w:hint="eastAsia" w:ascii="宋体" w:hAnsi="宋体" w:cs="宋体"/>
                <w:color w:val="000000"/>
                <w:spacing w:val="-6"/>
                <w:kern w:val="0"/>
                <w:szCs w:val="21"/>
                <w:highlight w:val="none"/>
              </w:rPr>
              <w:t>至20</w:t>
            </w:r>
            <w:r>
              <w:rPr>
                <w:rFonts w:hint="eastAsia" w:ascii="宋体" w:hAnsi="宋体" w:cs="宋体"/>
                <w:color w:val="000000"/>
                <w:spacing w:val="-6"/>
                <w:kern w:val="0"/>
                <w:szCs w:val="21"/>
                <w:highlight w:val="none"/>
                <w:lang w:val="en-US" w:eastAsia="zh-CN"/>
              </w:rPr>
              <w:t>25</w:t>
            </w:r>
            <w:r>
              <w:rPr>
                <w:rFonts w:hint="eastAsia" w:ascii="宋体" w:hAnsi="宋体" w:cs="宋体"/>
                <w:color w:val="000000"/>
                <w:spacing w:val="-6"/>
                <w:kern w:val="0"/>
                <w:szCs w:val="21"/>
                <w:highlight w:val="none"/>
              </w:rPr>
              <w:t>年）</w:t>
            </w:r>
            <w:r>
              <w:rPr>
                <w:rFonts w:hint="eastAsia" w:ascii="宋体" w:hAnsi="宋体" w:cs="宋体"/>
                <w:color w:val="000000"/>
                <w:szCs w:val="21"/>
                <w:highlight w:val="none"/>
              </w:rPr>
              <w:t>获得获得盟市及以上行业主管部门或行业协会颁发的荣誉</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每提供一个0.5分，最多加1分</w:t>
            </w:r>
            <w:r>
              <w:rPr>
                <w:rFonts w:hint="eastAsia" w:ascii="宋体" w:hAnsi="宋体" w:cs="宋体"/>
                <w:color w:val="000000"/>
                <w:szCs w:val="21"/>
                <w:highlight w:val="none"/>
              </w:rPr>
              <w:t>。本项以获奖证书或获奖文件扫描件为准。</w:t>
            </w:r>
          </w:p>
        </w:tc>
        <w:tc>
          <w:tcPr>
            <w:tcW w:w="1801" w:type="dxa"/>
            <w:noWrap w:val="0"/>
            <w:vAlign w:val="center"/>
          </w:tcPr>
          <w:p w14:paraId="7107E494">
            <w:pPr>
              <w:rPr>
                <w:rFonts w:hint="eastAsia" w:ascii="宋体" w:hAnsi="宋体" w:cs="宋体"/>
                <w:color w:val="000000"/>
                <w:spacing w:val="-6"/>
                <w:kern w:val="0"/>
                <w:szCs w:val="21"/>
                <w:highlight w:val="none"/>
                <w:lang w:val="en-US" w:eastAsia="zh-CN"/>
              </w:rPr>
            </w:pPr>
          </w:p>
        </w:tc>
      </w:tr>
      <w:tr w14:paraId="0B1B1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46" w:type="dxa"/>
            <w:vMerge w:val="continue"/>
            <w:noWrap w:val="0"/>
            <w:vAlign w:val="center"/>
          </w:tcPr>
          <w:p w14:paraId="7DF8AC7D">
            <w:pPr>
              <w:jc w:val="center"/>
              <w:rPr>
                <w:rFonts w:hint="eastAsia" w:ascii="宋体" w:hAnsi="宋体" w:cs="宋体"/>
                <w:szCs w:val="21"/>
              </w:rPr>
            </w:pPr>
          </w:p>
        </w:tc>
        <w:tc>
          <w:tcPr>
            <w:tcW w:w="1148" w:type="dxa"/>
            <w:vMerge w:val="continue"/>
            <w:noWrap w:val="0"/>
            <w:vAlign w:val="center"/>
          </w:tcPr>
          <w:p w14:paraId="4056192C">
            <w:pPr>
              <w:jc w:val="center"/>
              <w:rPr>
                <w:rFonts w:hint="eastAsia" w:ascii="宋体" w:hAnsi="宋体" w:cs="宋体"/>
                <w:szCs w:val="21"/>
              </w:rPr>
            </w:pPr>
          </w:p>
        </w:tc>
        <w:tc>
          <w:tcPr>
            <w:tcW w:w="2438" w:type="dxa"/>
            <w:noWrap w:val="0"/>
            <w:vAlign w:val="center"/>
          </w:tcPr>
          <w:p w14:paraId="601644DF">
            <w:pPr>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运营的设施安全合规（</w:t>
            </w:r>
            <w:r>
              <w:rPr>
                <w:rFonts w:hint="eastAsia" w:ascii="宋体" w:hAnsi="宋体" w:cs="宋体"/>
                <w:color w:val="000000"/>
                <w:kern w:val="2"/>
                <w:sz w:val="21"/>
                <w:szCs w:val="21"/>
                <w:highlight w:val="none"/>
                <w:lang w:val="en-US" w:eastAsia="zh-CN" w:bidi="ar-SA"/>
              </w:rPr>
              <w:t>10</w:t>
            </w:r>
            <w:r>
              <w:rPr>
                <w:rFonts w:hint="eastAsia" w:ascii="宋体" w:hAnsi="宋体" w:eastAsia="宋体" w:cs="宋体"/>
                <w:color w:val="000000"/>
                <w:kern w:val="2"/>
                <w:sz w:val="21"/>
                <w:szCs w:val="21"/>
                <w:highlight w:val="none"/>
                <w:lang w:val="en-US" w:eastAsia="zh-CN" w:bidi="ar-SA"/>
              </w:rPr>
              <w:t>分）</w:t>
            </w:r>
          </w:p>
        </w:tc>
        <w:tc>
          <w:tcPr>
            <w:tcW w:w="8323" w:type="dxa"/>
            <w:noWrap w:val="0"/>
            <w:vAlign w:val="center"/>
          </w:tcPr>
          <w:p w14:paraId="2EB57F6C">
            <w:pPr>
              <w:rPr>
                <w:rFonts w:hint="eastAsia" w:ascii="宋体" w:hAnsi="宋体" w:cs="宋体"/>
                <w:color w:val="000000"/>
                <w:spacing w:val="-6"/>
                <w:kern w:val="0"/>
                <w:szCs w:val="21"/>
                <w:highlight w:val="none"/>
                <w:lang w:val="en-US" w:eastAsia="zh-CN"/>
              </w:rPr>
            </w:pPr>
            <w:r>
              <w:rPr>
                <w:rFonts w:hint="eastAsia" w:ascii="宋体" w:hAnsi="宋体" w:cs="宋体"/>
                <w:color w:val="000000"/>
                <w:spacing w:val="-6"/>
                <w:kern w:val="0"/>
                <w:szCs w:val="21"/>
                <w:highlight w:val="none"/>
                <w:lang w:val="en-US" w:eastAsia="zh-CN"/>
              </w:rPr>
              <w:t>所运营的设施设备有相关管理单位出具的证书或有资质的第三方出具合格的检测报告的或者出具新设备采购承诺及设备详细参数及数量并承诺办理项目相关的审批手续等得5分，仅有厂家出具的合格正的的得2分，都没有的不得分。</w:t>
            </w:r>
          </w:p>
          <w:p w14:paraId="03D1BBC2">
            <w:pPr>
              <w:pStyle w:val="2"/>
              <w:ind w:left="0" w:leftChars="0" w:firstLine="0" w:firstLineChars="0"/>
              <w:rPr>
                <w:rFonts w:hint="default" w:ascii="宋体" w:hAnsi="宋体" w:cs="宋体"/>
                <w:color w:val="000000"/>
                <w:spacing w:val="-6"/>
                <w:kern w:val="0"/>
                <w:szCs w:val="21"/>
                <w:highlight w:val="none"/>
                <w:lang w:val="en-US" w:eastAsia="zh-CN"/>
              </w:rPr>
            </w:pPr>
            <w:r>
              <w:rPr>
                <w:rFonts w:hint="eastAsia" w:ascii="宋体" w:hAnsi="宋体" w:cs="宋体"/>
                <w:color w:val="auto"/>
                <w:spacing w:val="-6"/>
                <w:kern w:val="0"/>
                <w:szCs w:val="21"/>
                <w:highlight w:val="none"/>
                <w:lang w:val="en-US" w:eastAsia="zh-CN"/>
              </w:rPr>
              <w:t>满足以上条件，比选投入的设备数量和品类最优的得5分，次之得3分，其余根据数量品类得0-3分（不包含）。</w:t>
            </w:r>
          </w:p>
        </w:tc>
        <w:tc>
          <w:tcPr>
            <w:tcW w:w="1801" w:type="dxa"/>
            <w:noWrap w:val="0"/>
            <w:vAlign w:val="center"/>
          </w:tcPr>
          <w:p w14:paraId="1C0FF95D">
            <w:pPr>
              <w:pStyle w:val="2"/>
              <w:ind w:left="0" w:leftChars="0" w:firstLine="0" w:firstLineChars="0"/>
              <w:rPr>
                <w:rFonts w:hint="eastAsia" w:ascii="宋体" w:hAnsi="宋体" w:cs="宋体"/>
                <w:color w:val="auto"/>
                <w:spacing w:val="-6"/>
                <w:kern w:val="0"/>
                <w:szCs w:val="21"/>
                <w:highlight w:val="none"/>
                <w:lang w:val="en-US" w:eastAsia="zh-CN"/>
              </w:rPr>
            </w:pPr>
          </w:p>
        </w:tc>
      </w:tr>
      <w:tr w14:paraId="53BED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46" w:type="dxa"/>
            <w:noWrap w:val="0"/>
            <w:vAlign w:val="center"/>
          </w:tcPr>
          <w:p w14:paraId="64A6E556">
            <w:pPr>
              <w:jc w:val="center"/>
              <w:rPr>
                <w:rFonts w:hint="eastAsia" w:ascii="宋体" w:hAnsi="宋体" w:cs="宋体"/>
                <w:szCs w:val="21"/>
              </w:rPr>
            </w:pPr>
          </w:p>
        </w:tc>
        <w:tc>
          <w:tcPr>
            <w:tcW w:w="1148" w:type="dxa"/>
            <w:noWrap w:val="0"/>
            <w:vAlign w:val="center"/>
          </w:tcPr>
          <w:p w14:paraId="15422347">
            <w:pPr>
              <w:jc w:val="center"/>
              <w:rPr>
                <w:rFonts w:hint="eastAsia" w:ascii="宋体" w:hAnsi="宋体" w:cs="宋体"/>
                <w:szCs w:val="21"/>
              </w:rPr>
            </w:pPr>
          </w:p>
        </w:tc>
        <w:tc>
          <w:tcPr>
            <w:tcW w:w="2438" w:type="dxa"/>
            <w:noWrap w:val="0"/>
            <w:vAlign w:val="center"/>
          </w:tcPr>
          <w:p w14:paraId="52D23563">
            <w:pPr>
              <w:rPr>
                <w:rFonts w:hint="default" w:ascii="宋体" w:hAnsi="宋体" w:eastAsia="宋体" w:cs="宋体"/>
                <w:color w:val="000000"/>
                <w:kern w:val="2"/>
                <w:sz w:val="21"/>
                <w:szCs w:val="21"/>
                <w:highlight w:val="none"/>
                <w:lang w:val="en-US" w:eastAsia="zh-CN" w:bidi="ar-SA"/>
              </w:rPr>
            </w:pPr>
            <w:r>
              <w:rPr>
                <w:rFonts w:hint="eastAsia" w:ascii="宋体" w:hAnsi="宋体" w:cs="宋体"/>
                <w:color w:val="000000"/>
                <w:kern w:val="2"/>
                <w:sz w:val="21"/>
                <w:szCs w:val="21"/>
                <w:highlight w:val="none"/>
                <w:lang w:val="en-US" w:eastAsia="zh-CN" w:bidi="ar-SA"/>
              </w:rPr>
              <w:t>配套服务及吸引力</w:t>
            </w:r>
            <w:r>
              <w:rPr>
                <w:rFonts w:hint="eastAsia" w:ascii="宋体" w:hAnsi="宋体" w:eastAsia="宋体" w:cs="宋体"/>
                <w:color w:val="000000"/>
                <w:kern w:val="2"/>
                <w:sz w:val="21"/>
                <w:szCs w:val="21"/>
                <w:highlight w:val="none"/>
                <w:lang w:val="en-US" w:eastAsia="zh-CN" w:bidi="ar-SA"/>
              </w:rPr>
              <w:t>（</w:t>
            </w:r>
            <w:r>
              <w:rPr>
                <w:rFonts w:hint="eastAsia" w:ascii="宋体" w:hAnsi="宋体" w:cs="宋体"/>
                <w:color w:val="000000"/>
                <w:kern w:val="2"/>
                <w:sz w:val="21"/>
                <w:szCs w:val="21"/>
                <w:highlight w:val="none"/>
                <w:lang w:val="en-US" w:eastAsia="zh-CN" w:bidi="ar-SA"/>
              </w:rPr>
              <w:t>13</w:t>
            </w:r>
            <w:r>
              <w:rPr>
                <w:rFonts w:hint="default" w:ascii="宋体" w:hAnsi="宋体" w:eastAsia="宋体" w:cs="宋体"/>
                <w:color w:val="000000"/>
                <w:kern w:val="2"/>
                <w:sz w:val="21"/>
                <w:szCs w:val="21"/>
                <w:highlight w:val="none"/>
                <w:lang w:val="en-US" w:eastAsia="zh-CN" w:bidi="ar-SA"/>
              </w:rPr>
              <w:t>分</w:t>
            </w:r>
            <w:r>
              <w:rPr>
                <w:rFonts w:hint="eastAsia" w:ascii="宋体" w:hAnsi="宋体" w:eastAsia="宋体" w:cs="宋体"/>
                <w:color w:val="000000"/>
                <w:kern w:val="2"/>
                <w:sz w:val="21"/>
                <w:szCs w:val="21"/>
                <w:highlight w:val="none"/>
                <w:lang w:val="en-US" w:eastAsia="zh-CN" w:bidi="ar-SA"/>
              </w:rPr>
              <w:t>）</w:t>
            </w:r>
          </w:p>
        </w:tc>
        <w:tc>
          <w:tcPr>
            <w:tcW w:w="8323" w:type="dxa"/>
            <w:noWrap w:val="0"/>
            <w:vAlign w:val="center"/>
          </w:tcPr>
          <w:p w14:paraId="4EBC2568">
            <w:pPr>
              <w:rPr>
                <w:rFonts w:hint="default" w:ascii="宋体" w:hAnsi="宋体" w:cs="宋体"/>
                <w:color w:val="000000"/>
                <w:spacing w:val="-6"/>
                <w:kern w:val="0"/>
                <w:szCs w:val="21"/>
                <w:highlight w:val="none"/>
                <w:lang w:val="en-US" w:eastAsia="zh-CN"/>
              </w:rPr>
            </w:pPr>
            <w:r>
              <w:rPr>
                <w:rFonts w:hint="default" w:ascii="宋体" w:hAnsi="宋体" w:cs="宋体"/>
                <w:color w:val="000000"/>
                <w:spacing w:val="-6"/>
                <w:kern w:val="0"/>
                <w:szCs w:val="21"/>
                <w:highlight w:val="none"/>
                <w:lang w:val="en-US" w:eastAsia="zh-CN"/>
              </w:rPr>
              <w:t>为游客配套服务设施：设计科学合理，具有可实施性，</w:t>
            </w:r>
            <w:r>
              <w:rPr>
                <w:rFonts w:hint="eastAsia" w:ascii="宋体" w:hAnsi="宋体" w:cs="宋体"/>
                <w:color w:val="000000"/>
                <w:spacing w:val="-6"/>
                <w:kern w:val="0"/>
                <w:szCs w:val="21"/>
                <w:highlight w:val="none"/>
                <w:lang w:val="en-US" w:eastAsia="zh-CN"/>
              </w:rPr>
              <w:t>安全可靠的得3分，设备最新颖的得3分。</w:t>
            </w:r>
            <w:r>
              <w:rPr>
                <w:rFonts w:hint="default" w:ascii="宋体" w:hAnsi="宋体" w:cs="宋体"/>
                <w:color w:val="000000"/>
                <w:spacing w:val="-6"/>
                <w:kern w:val="0"/>
                <w:szCs w:val="21"/>
                <w:highlight w:val="none"/>
                <w:lang w:val="en-US" w:eastAsia="zh-CN"/>
              </w:rPr>
              <w:t>投资达到200万元以上的加</w:t>
            </w:r>
            <w:r>
              <w:rPr>
                <w:rFonts w:hint="eastAsia" w:ascii="宋体" w:hAnsi="宋体" w:cs="宋体"/>
                <w:color w:val="000000"/>
                <w:spacing w:val="-6"/>
                <w:kern w:val="0"/>
                <w:szCs w:val="21"/>
                <w:highlight w:val="none"/>
                <w:lang w:val="en-US" w:eastAsia="zh-CN"/>
              </w:rPr>
              <w:t>3</w:t>
            </w:r>
            <w:r>
              <w:rPr>
                <w:rFonts w:hint="default" w:ascii="宋体" w:hAnsi="宋体" w:cs="宋体"/>
                <w:color w:val="000000"/>
                <w:spacing w:val="-6"/>
                <w:kern w:val="0"/>
                <w:szCs w:val="21"/>
                <w:highlight w:val="none"/>
                <w:lang w:val="en-US" w:eastAsia="zh-CN"/>
              </w:rPr>
              <w:t>分，</w:t>
            </w:r>
            <w:r>
              <w:rPr>
                <w:rFonts w:hint="eastAsia" w:ascii="宋体" w:hAnsi="宋体" w:cs="宋体"/>
                <w:color w:val="000000"/>
                <w:spacing w:val="-6"/>
                <w:kern w:val="0"/>
                <w:szCs w:val="21"/>
                <w:highlight w:val="none"/>
                <w:lang w:val="en-US" w:eastAsia="zh-CN"/>
              </w:rPr>
              <w:t>投资额度</w:t>
            </w:r>
            <w:r>
              <w:rPr>
                <w:rFonts w:hint="default" w:ascii="宋体" w:hAnsi="宋体" w:cs="宋体"/>
                <w:color w:val="000000"/>
                <w:spacing w:val="-6"/>
                <w:kern w:val="0"/>
                <w:szCs w:val="21"/>
                <w:highlight w:val="none"/>
                <w:lang w:val="en-US" w:eastAsia="zh-CN"/>
              </w:rPr>
              <w:t>每增加100万元加分2分，加满为止项目</w:t>
            </w:r>
            <w:r>
              <w:rPr>
                <w:rFonts w:hint="eastAsia" w:ascii="宋体" w:hAnsi="宋体" w:cs="宋体"/>
                <w:color w:val="000000"/>
                <w:spacing w:val="-6"/>
                <w:kern w:val="0"/>
                <w:szCs w:val="21"/>
                <w:highlight w:val="none"/>
                <w:lang w:val="en-US" w:eastAsia="zh-CN"/>
              </w:rPr>
              <w:t>。</w:t>
            </w:r>
          </w:p>
        </w:tc>
        <w:tc>
          <w:tcPr>
            <w:tcW w:w="1801" w:type="dxa"/>
            <w:noWrap w:val="0"/>
            <w:vAlign w:val="center"/>
          </w:tcPr>
          <w:p w14:paraId="0F3FD9AE">
            <w:pPr>
              <w:rPr>
                <w:rFonts w:hint="default" w:ascii="宋体" w:hAnsi="宋体" w:cs="宋体"/>
                <w:color w:val="000000"/>
                <w:spacing w:val="-6"/>
                <w:kern w:val="0"/>
                <w:szCs w:val="21"/>
                <w:highlight w:val="none"/>
                <w:lang w:val="en-US" w:eastAsia="zh-CN"/>
              </w:rPr>
            </w:pPr>
          </w:p>
        </w:tc>
      </w:tr>
      <w:tr w14:paraId="06CB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12655" w:type="dxa"/>
            <w:gridSpan w:val="4"/>
            <w:noWrap w:val="0"/>
            <w:vAlign w:val="center"/>
          </w:tcPr>
          <w:p w14:paraId="3DB21B06">
            <w:pPr>
              <w:rPr>
                <w:rFonts w:hint="default" w:ascii="宋体" w:hAnsi="宋体" w:cs="宋体"/>
                <w:color w:val="000000"/>
                <w:spacing w:val="-6"/>
                <w:kern w:val="0"/>
                <w:szCs w:val="21"/>
                <w:highlight w:val="none"/>
                <w:lang w:val="en-US" w:eastAsia="zh-CN"/>
              </w:rPr>
            </w:pPr>
            <w:r>
              <w:rPr>
                <w:rFonts w:hint="eastAsia" w:ascii="宋体" w:hAnsi="宋体" w:cs="宋体"/>
                <w:color w:val="000000"/>
                <w:spacing w:val="-6"/>
                <w:kern w:val="0"/>
                <w:szCs w:val="21"/>
                <w:highlight w:val="none"/>
                <w:lang w:val="en-US" w:eastAsia="zh-CN"/>
              </w:rPr>
              <w:t>合计</w:t>
            </w:r>
          </w:p>
        </w:tc>
        <w:tc>
          <w:tcPr>
            <w:tcW w:w="1801" w:type="dxa"/>
            <w:noWrap w:val="0"/>
            <w:vAlign w:val="center"/>
          </w:tcPr>
          <w:p w14:paraId="217534D4">
            <w:pPr>
              <w:rPr>
                <w:rFonts w:hint="default" w:ascii="宋体" w:hAnsi="宋体" w:cs="宋体"/>
                <w:color w:val="000000"/>
                <w:spacing w:val="-6"/>
                <w:kern w:val="0"/>
                <w:szCs w:val="21"/>
                <w:highlight w:val="none"/>
                <w:lang w:val="en-US" w:eastAsia="zh-CN"/>
              </w:rPr>
            </w:pPr>
          </w:p>
        </w:tc>
      </w:tr>
    </w:tbl>
    <w:p w14:paraId="6E9492BF"/>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国标仿宋-GB/T 2312">
    <w:altName w:val="仿宋"/>
    <w:panose1 w:val="02000500000000000000"/>
    <w:charset w:val="86"/>
    <w:family w:val="auto"/>
    <w:pitch w:val="default"/>
    <w:sig w:usb0="800002AF" w:usb1="08476CF8" w:usb2="00000010" w:usb3="00000000" w:csb0="00040000" w:csb1="00000000"/>
  </w:font>
  <w:font w:name="仿宋">
    <w:panose1 w:val="02010609060101010101"/>
    <w:charset w:val="86"/>
    <w:family w:val="auto"/>
    <w:pitch w:val="default"/>
    <w:sig w:usb0="800002BF" w:usb1="38CF7CFA" w:usb2="00000016" w:usb3="00000000" w:csb0="00040001" w:csb1="00000000"/>
  </w:font>
  <w:font w:name="KSOF6BE7A20B">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BBA8C10"/>
    <w:rsid w:val="5DDF8AD8"/>
    <w:rsid w:val="6B646C9D"/>
    <w:rsid w:val="7DFBCC4E"/>
    <w:rsid w:val="BBBA8C10"/>
    <w:rsid w:val="FB0B4F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Style w:val="3"/>
      <w:tblCellMar>
        <w:top w:w="0" w:type="dxa"/>
        <w:left w:w="108" w:type="dxa"/>
        <w:bottom w:w="0" w:type="dxa"/>
        <w:right w:w="108" w:type="dxa"/>
      </w:tblCellMar>
    </w:tblPr>
  </w:style>
  <w:style w:type="paragraph" w:styleId="2">
    <w:name w:val="Normal Indent"/>
    <w:basedOn w:val="1"/>
    <w:qFormat/>
    <w:uiPriority w:val="0"/>
    <w:pPr>
      <w:widowControl/>
      <w:ind w:firstLine="420"/>
      <w:jc w:val="left"/>
    </w:pPr>
    <w:rPr>
      <w:rFonts w:ascii="Calibri" w:hAnsi="Calibri" w:eastAsia="宋体" w:cs="Times New Roman"/>
      <w:kern w:val="0"/>
      <w:sz w:val="20"/>
      <w:szCs w:val="20"/>
    </w:rPr>
  </w:style>
  <w:style w:type="paragraph" w:customStyle="1" w:styleId="5">
    <w:name w:val="正文 New New"/>
    <w:qFormat/>
    <w:uiPriority w:val="0"/>
    <w:pPr>
      <w:widowControl w:val="0"/>
      <w:topLinePunct/>
      <w:jc w:val="both"/>
    </w:pPr>
    <w:rPr>
      <w:rFonts w:ascii="Times New Roman" w:hAnsi="Times New Roman" w:eastAsia="宋体" w:cs="Times New Roman"/>
      <w:kern w:val="2"/>
      <w:sz w:val="21"/>
      <w:szCs w:val="24"/>
      <w:lang w:val="en-US" w:eastAsia="zh-CN" w:bidi="ar-SA"/>
    </w:rPr>
  </w:style>
  <w:style w:type="paragraph" w:customStyle="1" w:styleId="6">
    <w:name w:val="正文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998</Words>
  <Characters>1077</Characters>
  <Lines>0</Lines>
  <Paragraphs>0</Paragraphs>
  <TotalTime>2.66666666666667</TotalTime>
  <ScaleCrop>false</ScaleCrop>
  <LinksUpToDate>false</LinksUpToDate>
  <CharactersWithSpaces>1099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2026-03-19T05:09:00Z</dcterms:created>
  <dc:creator>yihaomatou</dc:creator>
  <cp:lastModifiedBy>新酱.</cp:lastModifiedBy>
  <cp:lastPrinted>2026-03-18T21:17:26Z</cp:lastPrinted>
  <dcterms:modified xsi:type="dcterms:W3CDTF">2026-06-15T09:51:14Z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C24E8378EB6A4BA58991EC5AB8BFFE75_13</vt:lpwstr>
  </property>
</Properties>
</file>