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50E35">
      <w:pPr>
        <w:pStyle w:val="7"/>
        <w:spacing w:before="0" w:after="0"/>
        <w:ind w:right="42" w:rightChars="20"/>
        <w:rPr>
          <w:rFonts w:ascii="宋体" w:hAnsi="宋体" w:cs="宋体"/>
          <w:bCs w:val="0"/>
          <w:color w:val="auto"/>
          <w:highlight w:val="none"/>
        </w:rPr>
      </w:pPr>
      <w:bookmarkStart w:id="5" w:name="_GoBack"/>
      <w:bookmarkEnd w:id="5"/>
      <w:r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highlight w:val="none"/>
        </w:rPr>
        <w:t>评审办法</w:t>
      </w:r>
    </w:p>
    <w:p w14:paraId="3CB8F430">
      <w:pPr>
        <w:pStyle w:val="4"/>
        <w:snapToGrid w:val="0"/>
        <w:spacing w:before="240" w:after="120" w:line="360" w:lineRule="auto"/>
        <w:ind w:right="42" w:rightChars="20"/>
        <w:jc w:val="left"/>
        <w:rPr>
          <w:rFonts w:ascii="宋体" w:hAnsi="宋体" w:eastAsia="宋体" w:cs="宋体"/>
          <w:bCs w:val="0"/>
          <w:color w:val="auto"/>
          <w:sz w:val="24"/>
          <w:szCs w:val="24"/>
          <w:highlight w:val="none"/>
        </w:rPr>
      </w:pPr>
      <w:bookmarkStart w:id="0" w:name="_Toc73"/>
      <w:bookmarkStart w:id="1" w:name="_Toc417650878"/>
      <w:bookmarkStart w:id="2" w:name="_Toc417651184"/>
      <w:bookmarkStart w:id="3" w:name="_Toc321501554"/>
      <w:r>
        <w:rPr>
          <w:rFonts w:hint="eastAsia" w:ascii="宋体" w:hAnsi="宋体" w:eastAsia="宋体" w:cs="宋体"/>
          <w:bCs w:val="0"/>
          <w:color w:val="auto"/>
          <w:sz w:val="24"/>
          <w:szCs w:val="24"/>
          <w:highlight w:val="none"/>
        </w:rPr>
        <w:t>一、评审方法</w:t>
      </w:r>
      <w:bookmarkEnd w:id="0"/>
      <w:bookmarkEnd w:id="1"/>
      <w:bookmarkEnd w:id="2"/>
    </w:p>
    <w:p w14:paraId="67A2F9FA">
      <w:pPr>
        <w:spacing w:line="360" w:lineRule="auto"/>
        <w:ind w:right="42" w:rightChars="20" w:firstLine="420" w:firstLineChars="200"/>
        <w:rPr>
          <w:rFonts w:hint="eastAsia" w:ascii="宋体" w:hAnsi="宋体"/>
          <w:color w:val="auto"/>
          <w:szCs w:val="28"/>
          <w:highlight w:val="none"/>
          <w:lang w:val="zh-CN"/>
        </w:rPr>
      </w:pPr>
      <w:r>
        <w:rPr>
          <w:rFonts w:hint="eastAsia" w:ascii="宋体" w:hAnsi="宋体"/>
          <w:color w:val="auto"/>
          <w:szCs w:val="28"/>
          <w:highlight w:val="none"/>
          <w:lang w:val="zh-CN"/>
        </w:rPr>
        <w:t>项目采用综合评审方式采购，以综合得分最优原则推荐成交候选合作商；如最终通过初步评审的参与商等于1家的，且参与商报价不</w:t>
      </w:r>
      <w:r>
        <w:rPr>
          <w:rFonts w:hint="eastAsia" w:ascii="宋体" w:hAnsi="宋体"/>
          <w:color w:val="auto"/>
          <w:szCs w:val="28"/>
          <w:highlight w:val="none"/>
          <w:lang w:val="en-US" w:eastAsia="zh-CN"/>
        </w:rPr>
        <w:t>低</w:t>
      </w:r>
      <w:r>
        <w:rPr>
          <w:rFonts w:hint="eastAsia" w:ascii="宋体" w:hAnsi="宋体"/>
          <w:color w:val="auto"/>
          <w:szCs w:val="28"/>
          <w:highlight w:val="none"/>
          <w:lang w:val="zh-CN"/>
        </w:rPr>
        <w:t>于招商限价的，则采用谈判方式进行评审，评审组现场对参与商的分成比例及技术方案等进行谈判（远程谈判事宜另行通知），可进行多轮报项目分成比例（不再进行综合打分），符合招商人要求，推荐为成交候选合作商。</w:t>
      </w:r>
    </w:p>
    <w:p w14:paraId="55986E42">
      <w:pPr>
        <w:spacing w:line="360" w:lineRule="auto"/>
        <w:ind w:right="42" w:rightChars="20" w:firstLine="420" w:firstLineChars="200"/>
        <w:rPr>
          <w:rFonts w:hint="eastAsia" w:ascii="宋体" w:hAnsi="宋体"/>
          <w:color w:val="auto"/>
          <w:szCs w:val="28"/>
          <w:highlight w:val="none"/>
          <w:lang w:val="zh-CN"/>
        </w:rPr>
      </w:pPr>
      <w:r>
        <w:rPr>
          <w:rFonts w:hint="eastAsia" w:ascii="宋体" w:hAnsi="宋体"/>
          <w:color w:val="auto"/>
          <w:szCs w:val="28"/>
          <w:highlight w:val="none"/>
          <w:lang w:val="en-US" w:eastAsia="zh-CN"/>
        </w:rPr>
        <w:t>本次采用资格后审方式。</w:t>
      </w:r>
    </w:p>
    <w:p w14:paraId="2AC9D8F8">
      <w:pPr>
        <w:pStyle w:val="4"/>
        <w:snapToGrid w:val="0"/>
        <w:spacing w:before="240" w:after="120" w:line="360" w:lineRule="auto"/>
        <w:ind w:right="42" w:rightChars="20"/>
        <w:jc w:val="left"/>
        <w:rPr>
          <w:rFonts w:ascii="宋体" w:hAnsi="宋体" w:eastAsia="宋体" w:cs="宋体"/>
          <w:bCs w:val="0"/>
          <w:color w:val="auto"/>
          <w:sz w:val="24"/>
          <w:szCs w:val="24"/>
          <w:highlight w:val="none"/>
        </w:rPr>
      </w:pPr>
      <w:bookmarkStart w:id="4" w:name="_Toc20797"/>
      <w:r>
        <w:rPr>
          <w:rFonts w:hint="eastAsia" w:ascii="宋体" w:hAnsi="宋体" w:eastAsia="宋体" w:cs="宋体"/>
          <w:bCs w:val="0"/>
          <w:color w:val="auto"/>
          <w:sz w:val="24"/>
          <w:szCs w:val="24"/>
          <w:highlight w:val="none"/>
        </w:rPr>
        <w:t>二、评审标准</w:t>
      </w:r>
      <w:bookmarkEnd w:id="4"/>
    </w:p>
    <w:p w14:paraId="523ACDF0">
      <w:pPr>
        <w:spacing w:line="360" w:lineRule="auto"/>
        <w:ind w:right="42" w:rightChars="20" w:firstLine="315" w:firstLineChars="150"/>
        <w:rPr>
          <w:rFonts w:hint="eastAsia" w:ascii="宋体" w:hAnsi="宋体"/>
          <w:color w:val="auto"/>
          <w:szCs w:val="28"/>
          <w:highlight w:val="none"/>
          <w:lang w:val="zh-CN"/>
        </w:rPr>
      </w:pPr>
      <w:r>
        <w:rPr>
          <w:rFonts w:hint="eastAsia" w:ascii="宋体" w:hAnsi="宋体"/>
          <w:color w:val="auto"/>
          <w:szCs w:val="28"/>
          <w:highlight w:val="none"/>
          <w:lang w:val="en-US" w:eastAsia="zh-CN"/>
        </w:rPr>
        <w:t>1</w:t>
      </w:r>
      <w:r>
        <w:rPr>
          <w:rFonts w:hint="eastAsia" w:ascii="宋体" w:hAnsi="宋体"/>
          <w:color w:val="auto"/>
          <w:szCs w:val="28"/>
          <w:highlight w:val="none"/>
          <w:lang w:val="zh-CN"/>
        </w:rPr>
        <w:t>.1 初步评审标准</w:t>
      </w:r>
    </w:p>
    <w:p w14:paraId="0AC2157C">
      <w:pPr>
        <w:spacing w:line="320" w:lineRule="exact"/>
        <w:ind w:right="42" w:rightChars="20"/>
        <w:jc w:val="center"/>
        <w:rPr>
          <w:rFonts w:ascii="宋体" w:hAnsi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初评条件</w:t>
      </w:r>
    </w:p>
    <w:tbl>
      <w:tblPr>
        <w:tblStyle w:val="5"/>
        <w:tblW w:w="92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643"/>
        <w:gridCol w:w="6316"/>
      </w:tblGrid>
      <w:tr w14:paraId="7CA00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tblHeader/>
          <w:jc w:val="center"/>
        </w:trPr>
        <w:tc>
          <w:tcPr>
            <w:tcW w:w="1276" w:type="dxa"/>
            <w:vAlign w:val="center"/>
          </w:tcPr>
          <w:p w14:paraId="09A78E12">
            <w:pPr>
              <w:pStyle w:val="8"/>
              <w:spacing w:line="400" w:lineRule="exact"/>
              <w:ind w:right="42" w:rightChars="20"/>
              <w:jc w:val="center"/>
              <w:rPr>
                <w:rFonts w:ascii="宋体" w:hAnsi="宋体" w:cs="宋体"/>
                <w:b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2"/>
                <w:szCs w:val="22"/>
                <w:highlight w:val="none"/>
              </w:rPr>
              <w:t>评审项</w:t>
            </w:r>
          </w:p>
        </w:tc>
        <w:tc>
          <w:tcPr>
            <w:tcW w:w="1643" w:type="dxa"/>
            <w:vAlign w:val="center"/>
          </w:tcPr>
          <w:p w14:paraId="31EA9110">
            <w:pPr>
              <w:pStyle w:val="8"/>
              <w:spacing w:line="400" w:lineRule="exact"/>
              <w:ind w:right="42" w:rightChars="20"/>
              <w:jc w:val="center"/>
              <w:rPr>
                <w:rFonts w:ascii="宋体" w:hAnsi="宋体" w:cs="宋体"/>
                <w:b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2"/>
                <w:szCs w:val="22"/>
                <w:highlight w:val="none"/>
              </w:rPr>
              <w:t>评审因素</w:t>
            </w:r>
          </w:p>
        </w:tc>
        <w:tc>
          <w:tcPr>
            <w:tcW w:w="6316" w:type="dxa"/>
            <w:vAlign w:val="center"/>
          </w:tcPr>
          <w:p w14:paraId="4679689A">
            <w:pPr>
              <w:pStyle w:val="8"/>
              <w:spacing w:line="400" w:lineRule="exact"/>
              <w:ind w:right="42" w:rightChars="20"/>
              <w:jc w:val="center"/>
              <w:rPr>
                <w:rFonts w:ascii="宋体" w:hAnsi="宋体" w:cs="宋体"/>
                <w:b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2"/>
                <w:szCs w:val="22"/>
                <w:highlight w:val="none"/>
              </w:rPr>
              <w:t>评审标准</w:t>
            </w:r>
          </w:p>
        </w:tc>
      </w:tr>
      <w:tr w14:paraId="3F179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276" w:type="dxa"/>
            <w:vMerge w:val="restart"/>
            <w:vAlign w:val="center"/>
          </w:tcPr>
          <w:p w14:paraId="0ED828AA">
            <w:pPr>
              <w:pStyle w:val="8"/>
              <w:spacing w:line="400" w:lineRule="exact"/>
              <w:ind w:right="42" w:rightChars="2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符合性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评审标准</w:t>
            </w:r>
          </w:p>
        </w:tc>
        <w:tc>
          <w:tcPr>
            <w:tcW w:w="1643" w:type="dxa"/>
            <w:vAlign w:val="center"/>
          </w:tcPr>
          <w:p w14:paraId="016D61C3">
            <w:pPr>
              <w:pStyle w:val="8"/>
              <w:spacing w:line="400" w:lineRule="exact"/>
              <w:ind w:right="42" w:rightChars="2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参与商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6316" w:type="dxa"/>
            <w:vAlign w:val="center"/>
          </w:tcPr>
          <w:p w14:paraId="29D2399B">
            <w:pPr>
              <w:pStyle w:val="8"/>
              <w:spacing w:line="400" w:lineRule="exact"/>
              <w:ind w:right="42" w:rightChars="20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与营业执照一致</w:t>
            </w:r>
          </w:p>
        </w:tc>
      </w:tr>
      <w:tr w14:paraId="06663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C45F811">
            <w:pPr>
              <w:pStyle w:val="8"/>
              <w:spacing w:line="400" w:lineRule="exact"/>
              <w:ind w:right="42" w:rightChars="20" w:firstLine="48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43" w:type="dxa"/>
            <w:vAlign w:val="center"/>
          </w:tcPr>
          <w:p w14:paraId="53C2088C">
            <w:pPr>
              <w:pStyle w:val="8"/>
              <w:spacing w:line="400" w:lineRule="exact"/>
              <w:ind w:right="42" w:rightChars="2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响应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函签字盖章</w:t>
            </w:r>
          </w:p>
        </w:tc>
        <w:tc>
          <w:tcPr>
            <w:tcW w:w="6316" w:type="dxa"/>
            <w:vAlign w:val="center"/>
          </w:tcPr>
          <w:p w14:paraId="20BF301E">
            <w:pPr>
              <w:pStyle w:val="8"/>
              <w:spacing w:line="400" w:lineRule="exact"/>
              <w:ind w:right="42" w:rightChars="20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有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响应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函，有法定代表人或其委托代理人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  <w:lang w:eastAsia="zh-CN"/>
              </w:rPr>
              <w:t>签字或签章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并加盖单位公章</w:t>
            </w:r>
          </w:p>
        </w:tc>
      </w:tr>
      <w:tr w14:paraId="29AC3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070ED23">
            <w:pPr>
              <w:pStyle w:val="8"/>
              <w:spacing w:line="400" w:lineRule="exact"/>
              <w:ind w:right="42" w:rightChars="20" w:firstLine="48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43" w:type="dxa"/>
            <w:vAlign w:val="center"/>
          </w:tcPr>
          <w:p w14:paraId="39669ECE">
            <w:pPr>
              <w:pStyle w:val="8"/>
              <w:spacing w:line="400" w:lineRule="exact"/>
              <w:ind w:right="42" w:rightChars="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法定代表人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/负责人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授权委托书</w:t>
            </w:r>
          </w:p>
        </w:tc>
        <w:tc>
          <w:tcPr>
            <w:tcW w:w="6316" w:type="dxa"/>
            <w:vAlign w:val="center"/>
          </w:tcPr>
          <w:p w14:paraId="4ACA90A9">
            <w:pPr>
              <w:pStyle w:val="8"/>
              <w:spacing w:line="400" w:lineRule="exact"/>
              <w:ind w:right="42" w:rightChars="20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有授权书，有法定代表人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/负责人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及其委托代理人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  <w:lang w:eastAsia="zh-CN"/>
              </w:rPr>
              <w:t>签字或签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并加盖单位公章</w:t>
            </w:r>
          </w:p>
        </w:tc>
      </w:tr>
      <w:tr w14:paraId="653FD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76" w:type="dxa"/>
            <w:vAlign w:val="center"/>
          </w:tcPr>
          <w:p w14:paraId="3EF62C71">
            <w:pPr>
              <w:pStyle w:val="8"/>
              <w:spacing w:line="400" w:lineRule="exact"/>
              <w:ind w:right="42" w:rightChars="2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资格评审标准</w:t>
            </w:r>
          </w:p>
        </w:tc>
        <w:tc>
          <w:tcPr>
            <w:tcW w:w="1643" w:type="dxa"/>
            <w:vAlign w:val="center"/>
          </w:tcPr>
          <w:p w14:paraId="69A28A10">
            <w:pPr>
              <w:pStyle w:val="8"/>
              <w:spacing w:line="400" w:lineRule="exact"/>
              <w:ind w:right="42" w:rightChars="2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资格要求</w:t>
            </w:r>
          </w:p>
        </w:tc>
        <w:tc>
          <w:tcPr>
            <w:tcW w:w="6316" w:type="dxa"/>
            <w:vAlign w:val="center"/>
          </w:tcPr>
          <w:p w14:paraId="40607780">
            <w:pPr>
              <w:pStyle w:val="8"/>
              <w:spacing w:line="400" w:lineRule="exact"/>
              <w:ind w:right="42" w:rightChars="20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参与商资格符合招商公告要求</w:t>
            </w:r>
          </w:p>
        </w:tc>
      </w:tr>
      <w:tr w14:paraId="3C21F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276" w:type="dxa"/>
            <w:vMerge w:val="restart"/>
            <w:vAlign w:val="center"/>
          </w:tcPr>
          <w:p w14:paraId="341E01E9">
            <w:pPr>
              <w:pStyle w:val="8"/>
              <w:spacing w:line="400" w:lineRule="exact"/>
              <w:ind w:right="42" w:rightChars="2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响应性评审标准</w:t>
            </w:r>
          </w:p>
        </w:tc>
        <w:tc>
          <w:tcPr>
            <w:tcW w:w="1643" w:type="dxa"/>
            <w:vAlign w:val="center"/>
          </w:tcPr>
          <w:p w14:paraId="5ED98A28">
            <w:pPr>
              <w:pStyle w:val="8"/>
              <w:spacing w:line="400" w:lineRule="exact"/>
              <w:ind w:right="42" w:rightChars="2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响应文件有效期</w:t>
            </w:r>
          </w:p>
        </w:tc>
        <w:tc>
          <w:tcPr>
            <w:tcW w:w="6316" w:type="dxa"/>
            <w:vAlign w:val="center"/>
          </w:tcPr>
          <w:p w14:paraId="37905F73">
            <w:pPr>
              <w:pStyle w:val="8"/>
              <w:spacing w:line="400" w:lineRule="exact"/>
              <w:ind w:right="42" w:rightChars="20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符合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项目招商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文件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要求</w:t>
            </w:r>
          </w:p>
        </w:tc>
      </w:tr>
      <w:tr w14:paraId="367C8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7052BED">
            <w:pPr>
              <w:pStyle w:val="8"/>
              <w:spacing w:line="400" w:lineRule="exact"/>
              <w:ind w:right="42" w:rightChars="20" w:firstLine="48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43" w:type="dxa"/>
            <w:vAlign w:val="center"/>
          </w:tcPr>
          <w:p w14:paraId="4740FD84">
            <w:pPr>
              <w:pStyle w:val="9"/>
              <w:spacing w:line="400" w:lineRule="exact"/>
              <w:ind w:right="42" w:rightChars="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分成比例</w:t>
            </w:r>
          </w:p>
        </w:tc>
        <w:tc>
          <w:tcPr>
            <w:tcW w:w="6316" w:type="dxa"/>
            <w:vAlign w:val="center"/>
          </w:tcPr>
          <w:p w14:paraId="6DFF6D93">
            <w:pPr>
              <w:pStyle w:val="8"/>
              <w:spacing w:line="400" w:lineRule="exact"/>
              <w:ind w:right="42" w:rightChars="20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lang w:val="en-US" w:eastAsia="zh-CN"/>
              </w:rPr>
              <w:t>分成比例只能有一个有效报价且不低于最低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分成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  <w:lang w:val="en-US" w:eastAsia="zh-CN"/>
              </w:rPr>
              <w:t>。</w:t>
            </w:r>
          </w:p>
        </w:tc>
      </w:tr>
      <w:tr w14:paraId="66887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819B5FD">
            <w:pPr>
              <w:pStyle w:val="8"/>
              <w:spacing w:line="400" w:lineRule="exact"/>
              <w:ind w:right="42" w:rightChars="20" w:firstLine="48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43" w:type="dxa"/>
            <w:vAlign w:val="center"/>
          </w:tcPr>
          <w:p w14:paraId="3D404F16">
            <w:pPr>
              <w:pStyle w:val="8"/>
              <w:spacing w:line="400" w:lineRule="exact"/>
              <w:ind w:right="42" w:rightChars="20"/>
              <w:jc w:val="center"/>
              <w:rPr>
                <w:rFonts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其他否决条件</w:t>
            </w:r>
          </w:p>
        </w:tc>
        <w:tc>
          <w:tcPr>
            <w:tcW w:w="6316" w:type="dxa"/>
            <w:vAlign w:val="center"/>
          </w:tcPr>
          <w:p w14:paraId="3AA51349">
            <w:pPr>
              <w:pStyle w:val="8"/>
              <w:spacing w:line="400" w:lineRule="exact"/>
              <w:ind w:right="42" w:rightChars="20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项目负责人、参与招商单位法人等存在违法违规行为的</w:t>
            </w:r>
          </w:p>
        </w:tc>
      </w:tr>
    </w:tbl>
    <w:p w14:paraId="45F0B9F0">
      <w:pPr>
        <w:spacing w:line="360" w:lineRule="auto"/>
        <w:ind w:right="42" w:rightChars="20" w:firstLine="315" w:firstLineChars="150"/>
        <w:rPr>
          <w:rFonts w:hint="eastAsia" w:ascii="宋体" w:hAnsi="宋体"/>
          <w:color w:val="auto"/>
          <w:szCs w:val="28"/>
          <w:highlight w:val="none"/>
          <w:lang w:val="zh-CN"/>
        </w:rPr>
      </w:pPr>
    </w:p>
    <w:p w14:paraId="0933ADA1">
      <w:pPr>
        <w:spacing w:line="360" w:lineRule="auto"/>
        <w:ind w:right="42" w:rightChars="20" w:firstLine="315" w:firstLineChars="150"/>
        <w:rPr>
          <w:rFonts w:hint="eastAsia" w:ascii="宋体" w:hAnsi="宋体"/>
          <w:color w:val="auto"/>
          <w:szCs w:val="28"/>
          <w:highlight w:val="none"/>
          <w:lang w:val="zh-CN"/>
        </w:rPr>
      </w:pPr>
    </w:p>
    <w:p w14:paraId="106807FB">
      <w:pPr>
        <w:spacing w:line="360" w:lineRule="auto"/>
        <w:ind w:right="42" w:rightChars="20" w:firstLine="315" w:firstLineChars="150"/>
        <w:rPr>
          <w:rFonts w:hint="eastAsia" w:ascii="宋体" w:hAnsi="宋体"/>
          <w:color w:val="auto"/>
          <w:szCs w:val="28"/>
          <w:highlight w:val="none"/>
          <w:lang w:val="zh-CN"/>
        </w:rPr>
      </w:pPr>
    </w:p>
    <w:p w14:paraId="71887C28">
      <w:pPr>
        <w:spacing w:line="360" w:lineRule="auto"/>
        <w:ind w:right="42" w:rightChars="20" w:firstLine="315" w:firstLineChars="150"/>
        <w:rPr>
          <w:rFonts w:hint="eastAsia" w:ascii="宋体" w:hAnsi="宋体"/>
          <w:color w:val="auto"/>
          <w:szCs w:val="28"/>
          <w:highlight w:val="none"/>
          <w:lang w:val="zh-CN"/>
        </w:rPr>
      </w:pPr>
    </w:p>
    <w:p w14:paraId="0A4370AE">
      <w:pPr>
        <w:spacing w:line="360" w:lineRule="auto"/>
        <w:ind w:right="42" w:rightChars="20" w:firstLine="315" w:firstLineChars="150"/>
        <w:rPr>
          <w:rFonts w:hint="eastAsia" w:ascii="宋体" w:hAnsi="宋体"/>
          <w:color w:val="auto"/>
          <w:szCs w:val="28"/>
          <w:highlight w:val="none"/>
          <w:lang w:val="zh-CN"/>
        </w:rPr>
      </w:pPr>
      <w:r>
        <w:rPr>
          <w:rFonts w:hint="eastAsia" w:ascii="宋体" w:hAnsi="宋体"/>
          <w:color w:val="auto"/>
          <w:szCs w:val="28"/>
          <w:highlight w:val="none"/>
          <w:lang w:val="en-US" w:eastAsia="zh-CN"/>
        </w:rPr>
        <w:t>1</w:t>
      </w:r>
      <w:r>
        <w:rPr>
          <w:rFonts w:hint="eastAsia" w:ascii="宋体" w:hAnsi="宋体"/>
          <w:color w:val="auto"/>
          <w:szCs w:val="28"/>
          <w:highlight w:val="none"/>
          <w:lang w:val="zh-CN"/>
        </w:rPr>
        <w:t>.2 评分标准</w:t>
      </w:r>
    </w:p>
    <w:bookmarkEnd w:id="3"/>
    <w:tbl>
      <w:tblPr>
        <w:tblStyle w:val="5"/>
        <w:tblW w:w="93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1148"/>
        <w:gridCol w:w="2438"/>
        <w:gridCol w:w="5062"/>
      </w:tblGrid>
      <w:tr w14:paraId="66DF8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1894" w:type="dxa"/>
            <w:gridSpan w:val="2"/>
            <w:vAlign w:val="center"/>
          </w:tcPr>
          <w:p w14:paraId="2A7093F9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条款号</w:t>
            </w:r>
          </w:p>
        </w:tc>
        <w:tc>
          <w:tcPr>
            <w:tcW w:w="2438" w:type="dxa"/>
            <w:vAlign w:val="center"/>
          </w:tcPr>
          <w:p w14:paraId="170EDA45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条款内容</w:t>
            </w:r>
          </w:p>
        </w:tc>
        <w:tc>
          <w:tcPr>
            <w:tcW w:w="5062" w:type="dxa"/>
            <w:vAlign w:val="center"/>
          </w:tcPr>
          <w:p w14:paraId="338D2EC8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编列内容</w:t>
            </w:r>
          </w:p>
        </w:tc>
      </w:tr>
      <w:tr w14:paraId="602AF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894" w:type="dxa"/>
            <w:gridSpan w:val="2"/>
            <w:vAlign w:val="center"/>
          </w:tcPr>
          <w:p w14:paraId="1A21DF77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Cs w:val="21"/>
              </w:rPr>
              <w:t>.2.1</w:t>
            </w:r>
          </w:p>
        </w:tc>
        <w:tc>
          <w:tcPr>
            <w:tcW w:w="2438" w:type="dxa"/>
            <w:vAlign w:val="center"/>
          </w:tcPr>
          <w:p w14:paraId="40317417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分值构成</w:t>
            </w:r>
          </w:p>
          <w:p w14:paraId="1B9BE259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（总分100分）</w:t>
            </w:r>
          </w:p>
        </w:tc>
        <w:tc>
          <w:tcPr>
            <w:tcW w:w="5062" w:type="dxa"/>
            <w:vAlign w:val="center"/>
          </w:tcPr>
          <w:p w14:paraId="65DB5920"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冰场机械操作及冰面维护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：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分</w:t>
            </w:r>
          </w:p>
          <w:p w14:paraId="43013905"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分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成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比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例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：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分</w:t>
            </w:r>
          </w:p>
          <w:p w14:paraId="05D4B974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其他评分因素：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  <w:lang w:val="en-US" w:eastAsia="zh-CN"/>
              </w:rPr>
              <w:t>55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分</w:t>
            </w:r>
          </w:p>
        </w:tc>
      </w:tr>
      <w:tr w14:paraId="52660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894" w:type="dxa"/>
            <w:gridSpan w:val="2"/>
            <w:vAlign w:val="center"/>
          </w:tcPr>
          <w:p w14:paraId="15687B97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条款号</w:t>
            </w:r>
          </w:p>
        </w:tc>
        <w:tc>
          <w:tcPr>
            <w:tcW w:w="2438" w:type="dxa"/>
            <w:vAlign w:val="center"/>
          </w:tcPr>
          <w:p w14:paraId="51EADE59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评分因素</w:t>
            </w:r>
          </w:p>
        </w:tc>
        <w:tc>
          <w:tcPr>
            <w:tcW w:w="5062" w:type="dxa"/>
            <w:vAlign w:val="center"/>
          </w:tcPr>
          <w:p w14:paraId="71AF227D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评审</w:t>
            </w:r>
            <w:r>
              <w:rPr>
                <w:rFonts w:hint="eastAsia" w:ascii="宋体" w:hAnsi="宋体" w:cs="宋体"/>
                <w:szCs w:val="21"/>
              </w:rPr>
              <w:t>标准</w:t>
            </w:r>
          </w:p>
        </w:tc>
      </w:tr>
      <w:tr w14:paraId="21CB0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746" w:type="dxa"/>
            <w:vMerge w:val="restart"/>
            <w:vAlign w:val="center"/>
          </w:tcPr>
          <w:p w14:paraId="18525997">
            <w:pPr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Cs w:val="21"/>
              </w:rPr>
              <w:t>.2.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3</w:t>
            </w:r>
          </w:p>
          <w:p w14:paraId="7D3A0824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(1)</w:t>
            </w:r>
          </w:p>
        </w:tc>
        <w:tc>
          <w:tcPr>
            <w:tcW w:w="1148" w:type="dxa"/>
            <w:vMerge w:val="restart"/>
            <w:vAlign w:val="center"/>
          </w:tcPr>
          <w:p w14:paraId="6ABACF64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冰场机械操作及冰面维护</w:t>
            </w:r>
            <w:r>
              <w:rPr>
                <w:rFonts w:hint="eastAsia" w:ascii="宋体" w:hAnsi="宋体" w:cs="宋体"/>
                <w:szCs w:val="21"/>
              </w:rPr>
              <w:t>（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szCs w:val="21"/>
              </w:rPr>
              <w:t>分）</w:t>
            </w:r>
          </w:p>
        </w:tc>
        <w:tc>
          <w:tcPr>
            <w:tcW w:w="2438" w:type="dxa"/>
            <w:vAlign w:val="center"/>
          </w:tcPr>
          <w:p w14:paraId="214EC0F3">
            <w:pPr>
              <w:jc w:val="left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冰场机械操作（5分）</w:t>
            </w:r>
          </w:p>
        </w:tc>
        <w:tc>
          <w:tcPr>
            <w:tcW w:w="5062" w:type="dxa"/>
            <w:vAlign w:val="center"/>
          </w:tcPr>
          <w:p w14:paraId="60AB91DA"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应急门、灯光音响大屏幕等设备熟练掌握（3-5）；一般操作（0-3分）；不会操作不得分</w:t>
            </w:r>
          </w:p>
        </w:tc>
      </w:tr>
      <w:tr w14:paraId="4D868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746" w:type="dxa"/>
            <w:vMerge w:val="continue"/>
            <w:vAlign w:val="center"/>
          </w:tcPr>
          <w:p w14:paraId="4A9A2416"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148" w:type="dxa"/>
            <w:vMerge w:val="continue"/>
            <w:vAlign w:val="center"/>
          </w:tcPr>
          <w:p w14:paraId="7C645D45"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2438" w:type="dxa"/>
            <w:vAlign w:val="center"/>
          </w:tcPr>
          <w:p w14:paraId="6CAF5E07">
            <w:pPr>
              <w:jc w:val="left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冰面维护、磨冰车使用（10分）</w:t>
            </w:r>
          </w:p>
        </w:tc>
        <w:tc>
          <w:tcPr>
            <w:tcW w:w="5062" w:type="dxa"/>
            <w:vAlign w:val="center"/>
          </w:tcPr>
          <w:p w14:paraId="5648104A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熟练驾驶磨冰车并熟悉浇冰操作</w:t>
            </w:r>
            <w:r>
              <w:rPr>
                <w:rFonts w:hint="eastAsia" w:ascii="宋体" w:hAnsi="宋体" w:cs="宋体"/>
                <w:szCs w:val="21"/>
              </w:rPr>
              <w:t>的得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5-10</w:t>
            </w:r>
            <w:r>
              <w:rPr>
                <w:rFonts w:hint="eastAsia" w:ascii="宋体" w:hAnsi="宋体" w:cs="宋体"/>
                <w:szCs w:val="21"/>
              </w:rPr>
              <w:t>分；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一般操作0-5</w:t>
            </w:r>
            <w:r>
              <w:rPr>
                <w:rFonts w:hint="eastAsia" w:ascii="宋体" w:hAnsi="宋体" w:cs="宋体"/>
                <w:szCs w:val="21"/>
              </w:rPr>
              <w:t>分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不含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）</w:t>
            </w:r>
            <w:r>
              <w:rPr>
                <w:rFonts w:hint="eastAsia" w:ascii="宋体" w:hAnsi="宋体" w:cs="宋体"/>
                <w:szCs w:val="21"/>
              </w:rPr>
              <w:t>；不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会操作</w:t>
            </w:r>
            <w:r>
              <w:rPr>
                <w:rFonts w:hint="eastAsia" w:ascii="宋体" w:hAnsi="宋体" w:cs="宋体"/>
                <w:szCs w:val="21"/>
              </w:rPr>
              <w:t>不得分。</w:t>
            </w:r>
          </w:p>
        </w:tc>
      </w:tr>
      <w:tr w14:paraId="5588A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  <w:jc w:val="center"/>
        </w:trPr>
        <w:tc>
          <w:tcPr>
            <w:tcW w:w="746" w:type="dxa"/>
            <w:vAlign w:val="center"/>
          </w:tcPr>
          <w:p w14:paraId="7F2A62C1"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.2.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（2）</w:t>
            </w:r>
          </w:p>
        </w:tc>
        <w:tc>
          <w:tcPr>
            <w:tcW w:w="1148" w:type="dxa"/>
            <w:vAlign w:val="center"/>
          </w:tcPr>
          <w:p w14:paraId="781D9303"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分成比例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评分标准</w:t>
            </w:r>
          </w:p>
          <w:p w14:paraId="63428B25"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（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分）</w:t>
            </w:r>
          </w:p>
        </w:tc>
        <w:tc>
          <w:tcPr>
            <w:tcW w:w="2438" w:type="dxa"/>
            <w:vAlign w:val="center"/>
          </w:tcPr>
          <w:p w14:paraId="1065BEB6"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分成比例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得分（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分）</w:t>
            </w:r>
          </w:p>
        </w:tc>
        <w:tc>
          <w:tcPr>
            <w:tcW w:w="5062" w:type="dxa"/>
            <w:vAlign w:val="center"/>
          </w:tcPr>
          <w:p w14:paraId="6D8F504E">
            <w:pPr>
              <w:jc w:val="left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highlight w:val="none"/>
                <w:lang w:val="en-US" w:eastAsia="zh-CN"/>
              </w:rPr>
              <w:t>满足招标方收入分成要求的得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szCs w:val="21"/>
                <w:highlight w:val="none"/>
                <w:lang w:val="en-US" w:eastAsia="zh-CN"/>
              </w:rPr>
              <w:t>分，给招标方每多分0.2成者加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Cs w:val="21"/>
                <w:highlight w:val="none"/>
                <w:lang w:val="en-US" w:eastAsia="zh-CN"/>
              </w:rPr>
              <w:t>分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满分为止</w:t>
            </w:r>
          </w:p>
        </w:tc>
      </w:tr>
      <w:tr w14:paraId="5C61E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746" w:type="dxa"/>
            <w:vMerge w:val="restart"/>
            <w:vAlign w:val="center"/>
          </w:tcPr>
          <w:p w14:paraId="674FB14A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Cs w:val="21"/>
              </w:rPr>
              <w:t>.2.4</w:t>
            </w:r>
          </w:p>
          <w:p w14:paraId="051ED31D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（3）</w:t>
            </w:r>
          </w:p>
        </w:tc>
        <w:tc>
          <w:tcPr>
            <w:tcW w:w="1148" w:type="dxa"/>
            <w:vMerge w:val="restart"/>
            <w:vAlign w:val="center"/>
          </w:tcPr>
          <w:p w14:paraId="7663605F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其他因素评分标准</w:t>
            </w:r>
          </w:p>
          <w:p w14:paraId="47E7EB40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55</w:t>
            </w:r>
            <w:r>
              <w:rPr>
                <w:rFonts w:hint="eastAsia" w:ascii="宋体" w:hAnsi="宋体" w:cs="宋体"/>
                <w:szCs w:val="21"/>
              </w:rPr>
              <w:t>分）</w:t>
            </w:r>
          </w:p>
        </w:tc>
        <w:tc>
          <w:tcPr>
            <w:tcW w:w="2438" w:type="dxa"/>
            <w:vAlign w:val="center"/>
          </w:tcPr>
          <w:p w14:paraId="0BF579E2">
            <w:pPr>
              <w:jc w:val="left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企业业绩</w:t>
            </w:r>
            <w:r>
              <w:rPr>
                <w:rFonts w:hint="eastAsia" w:ascii="宋体" w:hAnsi="宋体" w:cs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组织或协办</w:t>
            </w:r>
            <w:r>
              <w:rPr>
                <w:rFonts w:hint="eastAsia" w:ascii="宋体" w:hAnsi="宋体" w:cs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（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分）</w:t>
            </w:r>
          </w:p>
        </w:tc>
        <w:tc>
          <w:tcPr>
            <w:tcW w:w="5062" w:type="dxa"/>
            <w:vAlign w:val="center"/>
          </w:tcPr>
          <w:p w14:paraId="5E7A9FE9">
            <w:pPr>
              <w:jc w:val="left"/>
              <w:rPr>
                <w:rFonts w:hint="default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参与商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近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年内（20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年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月1日起至投标截止日）完成的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国家级赛事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的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本项目同类运营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项目业绩，投标人提供一项加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0.5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分，最多得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分，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省级每一项加0.3分，市级赛事每项加0.1分，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没有不得分。（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提供证书或文件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盖章页）</w:t>
            </w:r>
            <w:r>
              <w:rPr>
                <w:rFonts w:hint="eastAsia" w:ascii="宋体" w:hAnsi="宋体" w:cs="宋体"/>
                <w:color w:val="000000"/>
                <w:szCs w:val="21"/>
                <w:lang w:eastAsia="zh-CN"/>
              </w:rPr>
              <w:t>。</w:t>
            </w: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满分为止</w:t>
            </w:r>
          </w:p>
        </w:tc>
      </w:tr>
      <w:tr w14:paraId="2D962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746" w:type="dxa"/>
            <w:vMerge w:val="continue"/>
            <w:vAlign w:val="center"/>
          </w:tcPr>
          <w:p w14:paraId="010BBB6E"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148" w:type="dxa"/>
            <w:vMerge w:val="continue"/>
            <w:vAlign w:val="center"/>
          </w:tcPr>
          <w:p w14:paraId="30559622"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2438" w:type="dxa"/>
            <w:vAlign w:val="center"/>
          </w:tcPr>
          <w:p w14:paraId="6E369380">
            <w:pP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企业</w:t>
            </w:r>
            <w:r>
              <w:rPr>
                <w:rFonts w:hint="eastAsia" w:ascii="宋体" w:hAnsi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或者个人执照证书或比赛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获奖（</w:t>
            </w:r>
            <w:r>
              <w:rPr>
                <w:rFonts w:hint="eastAsia" w:ascii="宋体" w:hAnsi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25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分）</w:t>
            </w:r>
          </w:p>
        </w:tc>
        <w:tc>
          <w:tcPr>
            <w:tcW w:w="5062" w:type="dxa"/>
            <w:vAlign w:val="center"/>
          </w:tcPr>
          <w:p w14:paraId="78BDC695">
            <w:pPr>
              <w:rPr>
                <w:rFonts w:hint="default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pacing w:val="-6"/>
                <w:kern w:val="0"/>
                <w:szCs w:val="21"/>
                <w:highlight w:val="none"/>
                <w:lang w:val="en-US" w:eastAsia="zh-CN"/>
              </w:rPr>
              <w:t>投标人</w:t>
            </w:r>
            <w:r>
              <w:rPr>
                <w:rFonts w:hint="eastAsia" w:ascii="宋体" w:hAnsi="宋体" w:cs="宋体"/>
                <w:color w:val="000000"/>
                <w:spacing w:val="-6"/>
                <w:kern w:val="0"/>
                <w:szCs w:val="21"/>
                <w:highlight w:val="none"/>
              </w:rPr>
              <w:t>近</w:t>
            </w:r>
            <w:r>
              <w:rPr>
                <w:rFonts w:hint="eastAsia" w:ascii="宋体" w:hAnsi="宋体" w:cs="宋体"/>
                <w:color w:val="000000"/>
                <w:spacing w:val="-6"/>
                <w:kern w:val="0"/>
                <w:szCs w:val="21"/>
                <w:highlight w:val="none"/>
                <w:lang w:val="en-US" w:eastAsia="zh-CN"/>
              </w:rPr>
              <w:t>五</w:t>
            </w:r>
            <w:r>
              <w:rPr>
                <w:rFonts w:hint="eastAsia" w:ascii="宋体" w:hAnsi="宋体" w:cs="宋体"/>
                <w:color w:val="000000"/>
                <w:spacing w:val="-6"/>
                <w:kern w:val="0"/>
                <w:szCs w:val="21"/>
                <w:highlight w:val="none"/>
              </w:rPr>
              <w:t>年（20</w:t>
            </w:r>
            <w:r>
              <w:rPr>
                <w:rFonts w:hint="eastAsia" w:ascii="宋体" w:hAnsi="宋体" w:cs="宋体"/>
                <w:color w:val="000000"/>
                <w:spacing w:val="-6"/>
                <w:kern w:val="0"/>
                <w:szCs w:val="21"/>
                <w:highlight w:val="none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color w:val="000000"/>
                <w:spacing w:val="-6"/>
                <w:kern w:val="0"/>
                <w:szCs w:val="21"/>
                <w:highlight w:val="none"/>
              </w:rPr>
              <w:t>至20</w:t>
            </w:r>
            <w:r>
              <w:rPr>
                <w:rFonts w:hint="eastAsia" w:ascii="宋体" w:hAnsi="宋体" w:cs="宋体"/>
                <w:color w:val="000000"/>
                <w:spacing w:val="-6"/>
                <w:kern w:val="0"/>
                <w:szCs w:val="21"/>
                <w:highlight w:val="none"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color w:val="000000"/>
                <w:spacing w:val="-6"/>
                <w:kern w:val="0"/>
                <w:szCs w:val="21"/>
                <w:highlight w:val="none"/>
              </w:rPr>
              <w:t>年）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获得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val="en-US" w:eastAsia="zh-CN"/>
              </w:rPr>
              <w:t>国家级赛事或资格证每项加0.5分，省级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荣誉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val="en-US" w:eastAsia="zh-CN"/>
              </w:rPr>
              <w:t>或资格证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val="en-US" w:eastAsia="zh-CN"/>
              </w:rPr>
              <w:t>每提供一个0.3分，市级荣誉或者资格证每项加0.1分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。本项以获奖证书或获奖文件扫描件为准。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val="en-US" w:eastAsia="zh-CN"/>
              </w:rPr>
              <w:t>满分为止</w:t>
            </w:r>
          </w:p>
        </w:tc>
      </w:tr>
      <w:tr w14:paraId="4D720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746" w:type="dxa"/>
            <w:vAlign w:val="center"/>
          </w:tcPr>
          <w:p w14:paraId="4A81A645"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148" w:type="dxa"/>
            <w:vAlign w:val="center"/>
          </w:tcPr>
          <w:p w14:paraId="410B2017"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2438" w:type="dxa"/>
            <w:vAlign w:val="center"/>
          </w:tcPr>
          <w:p w14:paraId="05250E6C">
            <w:pPr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学员获奖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15</w:t>
            </w:r>
            <w:r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分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）</w:t>
            </w:r>
          </w:p>
        </w:tc>
        <w:tc>
          <w:tcPr>
            <w:tcW w:w="5062" w:type="dxa"/>
            <w:vAlign w:val="center"/>
          </w:tcPr>
          <w:p w14:paraId="56656D6F">
            <w:pPr>
              <w:rPr>
                <w:rFonts w:hint="default" w:ascii="宋体" w:hAnsi="宋体" w:cs="宋体"/>
                <w:color w:val="000000"/>
                <w:spacing w:val="-6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pacing w:val="-6"/>
                <w:kern w:val="0"/>
                <w:szCs w:val="21"/>
                <w:highlight w:val="none"/>
                <w:lang w:val="en-US" w:eastAsia="zh-CN"/>
              </w:rPr>
              <w:t>学员参加国家级赛事每一项加0.5分，省级赛事每一项加0.3分，市级赛事每一项加0.1分，满分为止</w:t>
            </w:r>
          </w:p>
        </w:tc>
      </w:tr>
    </w:tbl>
    <w:p w14:paraId="2C2E8E9C">
      <w:pPr>
        <w:spacing w:line="360" w:lineRule="auto"/>
        <w:ind w:right="42" w:rightChars="20" w:firstLine="315" w:firstLineChars="150"/>
        <w:rPr>
          <w:rFonts w:hint="eastAsia" w:ascii="宋体" w:hAnsi="宋体"/>
          <w:color w:val="auto"/>
          <w:szCs w:val="28"/>
          <w:highlight w:val="none"/>
          <w:lang w:val="zh-CN"/>
        </w:rPr>
      </w:pPr>
      <w:r>
        <w:rPr>
          <w:rFonts w:hint="eastAsia" w:ascii="宋体" w:hAnsi="宋体"/>
          <w:color w:val="auto"/>
          <w:szCs w:val="28"/>
          <w:highlight w:val="none"/>
          <w:lang w:val="zh-CN"/>
        </w:rPr>
        <w:t>供应商最终得分=所有评审专家评分的平均值。</w:t>
      </w:r>
    </w:p>
    <w:p w14:paraId="2D16C6D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844E11"/>
    <w:rsid w:val="2B424E3E"/>
    <w:rsid w:val="30195BE3"/>
    <w:rsid w:val="58AD0893"/>
    <w:rsid w:val="5AD051DD"/>
    <w:rsid w:val="5DDFE521"/>
    <w:rsid w:val="622D3B6B"/>
    <w:rsid w:val="66BE7860"/>
    <w:rsid w:val="77DB64E7"/>
    <w:rsid w:val="7E7AC735"/>
    <w:rsid w:val="7EBF3C48"/>
    <w:rsid w:val="7ED19C05"/>
    <w:rsid w:val="E742E887"/>
    <w:rsid w:val="FF543395"/>
    <w:rsid w:val="FF6EA972"/>
    <w:rsid w:val="FFFBF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outlineLvl w:val="0"/>
    </w:pPr>
    <w:rPr>
      <w:rFonts w:ascii="Calibri" w:hAnsi="Calibri" w:eastAsia="宋体" w:cs="Times New Roman"/>
      <w:b/>
      <w:bCs/>
      <w:sz w:val="18"/>
      <w:szCs w:val="24"/>
    </w:rPr>
  </w:style>
  <w:style w:type="paragraph" w:styleId="4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 w:eastAsia="宋体" w:cs="宋体"/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ind w:firstLine="420"/>
      <w:jc w:val="left"/>
    </w:pPr>
    <w:rPr>
      <w:rFonts w:ascii="Calibri" w:hAnsi="Calibri" w:eastAsia="宋体" w:cs="Times New Roman"/>
      <w:kern w:val="0"/>
      <w:sz w:val="20"/>
      <w:szCs w:val="20"/>
    </w:rPr>
  </w:style>
  <w:style w:type="paragraph" w:customStyle="1" w:styleId="7">
    <w:name w:val="bt1bt1"/>
    <w:basedOn w:val="3"/>
    <w:qFormat/>
    <w:uiPriority w:val="0"/>
    <w:pPr>
      <w:keepLines/>
      <w:spacing w:before="340" w:after="330"/>
      <w:jc w:val="center"/>
    </w:pPr>
    <w:rPr>
      <w:rFonts w:ascii="黑体" w:hAnsi="Times New Roman" w:eastAsia="黑体"/>
      <w:b w:val="0"/>
      <w:kern w:val="44"/>
      <w:sz w:val="36"/>
      <w:szCs w:val="36"/>
    </w:rPr>
  </w:style>
  <w:style w:type="paragraph" w:customStyle="1" w:styleId="8">
    <w:name w:val="正文 New New"/>
    <w:qFormat/>
    <w:uiPriority w:val="0"/>
    <w:pPr>
      <w:widowControl w:val="0"/>
      <w:topLinePunct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9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962</Words>
  <Characters>1036</Characters>
  <Paragraphs>126</Paragraphs>
  <TotalTime>1455</TotalTime>
  <ScaleCrop>false</ScaleCrop>
  <LinksUpToDate>false</LinksUpToDate>
  <CharactersWithSpaces>1043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2026-03-16T06:21:00Z</dcterms:created>
  <dc:creator>陈连运</dc:creator>
  <cp:lastModifiedBy>新酱.</cp:lastModifiedBy>
  <dcterms:modified xsi:type="dcterms:W3CDTF">2026-04-09T08:46:30Z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E218DF3986354EDEB04DB5C991DBFDDD_13</vt:lpwstr>
  </property>
  <property fmtid="{D5CDD505-2E9C-101B-9397-08002B2CF9AE}" pid="4" name="KSOTemplateDocerSaveRecord">
    <vt:lpwstr>eyJoZGlkIjoiZTFjMjgzZDA4NjJkMDk0ZTg1Nzk5MWFkMmNjZjhkNDYiLCJ1c2VySWQiOiIyMDQwNjEwNyJ9</vt:lpwstr>
  </property>
</Properties>
</file>